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F2736">
      <w:pPr>
        <w:spacing w:line="500" w:lineRule="exact"/>
        <w:jc w:val="both"/>
        <w:rPr>
          <w:rFonts w:hint="eastAsia" w:ascii="黑体" w:hAnsi="黑体" w:eastAsia="黑体" w:cs="黑体"/>
          <w:b/>
          <w:bCs w:val="0"/>
          <w:sz w:val="32"/>
          <w:szCs w:val="32"/>
        </w:rPr>
      </w:pPr>
      <w:bookmarkStart w:id="0" w:name="_GoBack"/>
      <w:bookmarkEnd w:id="0"/>
    </w:p>
    <w:p w14:paraId="24E8BCF3">
      <w:pPr>
        <w:spacing w:line="500" w:lineRule="exact"/>
        <w:jc w:val="center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《民法学》考试大纲</w:t>
      </w:r>
    </w:p>
    <w:p w14:paraId="0FA58508">
      <w:pPr>
        <w:spacing w:line="340" w:lineRule="exact"/>
        <w:rPr>
          <w:rFonts w:ascii="方正书宋简体" w:eastAsia="方正书宋简体" w:cs="Times New Roman"/>
          <w:sz w:val="24"/>
          <w:szCs w:val="24"/>
        </w:rPr>
      </w:pPr>
    </w:p>
    <w:p w14:paraId="5BED33B6">
      <w:pPr>
        <w:spacing w:line="24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一、考查目标及要求</w:t>
      </w:r>
    </w:p>
    <w:p w14:paraId="35E5A29C">
      <w:pPr>
        <w:spacing w:line="24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1"/>
        </w:rPr>
      </w:pPr>
      <w:r>
        <w:rPr>
          <w:rFonts w:hint="eastAsia" w:asciiTheme="minorEastAsia" w:hAnsiTheme="minorEastAsia" w:eastAsiaTheme="minorEastAsia" w:cstheme="minorEastAsia"/>
          <w:sz w:val="24"/>
          <w:szCs w:val="21"/>
        </w:rPr>
        <w:t>要求考生全面系统地掌握《民法学》的基本概念、基本理论和基本制度，并能够灵活运用民法的基本知识和理论分析和解决实际问题。</w:t>
      </w:r>
    </w:p>
    <w:p w14:paraId="6B384A4F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8"/>
          <w:szCs w:val="28"/>
          <w:lang w:val="en-US" w:eastAsia="zh-CN" w:bidi="ar-SA"/>
        </w:rPr>
        <w:t>二、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考试内容</w:t>
      </w:r>
    </w:p>
    <w:p w14:paraId="26BDBAA0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（一）民法总论</w:t>
      </w:r>
    </w:p>
    <w:p w14:paraId="57AD6451">
      <w:pPr>
        <w:topLinePunct/>
        <w:adjustRightInd w:val="0"/>
        <w:snapToGrid w:val="0"/>
        <w:spacing w:line="380" w:lineRule="exact"/>
        <w:ind w:firstLine="240" w:firstLineChars="1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民法基本原则</w:t>
      </w:r>
    </w:p>
    <w:p w14:paraId="31EE4940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平等原则</w:t>
      </w:r>
    </w:p>
    <w:p w14:paraId="1D7CDD37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自愿原则</w:t>
      </w:r>
    </w:p>
    <w:p w14:paraId="5A3F4CF6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公平原则</w:t>
      </w:r>
    </w:p>
    <w:p w14:paraId="49786C3B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诚实信用原则</w:t>
      </w:r>
    </w:p>
    <w:p w14:paraId="2BDCFEBC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公序良俗原则</w:t>
      </w:r>
    </w:p>
    <w:p w14:paraId="582529F8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绿色原则</w:t>
      </w:r>
    </w:p>
    <w:p w14:paraId="24C7E75C">
      <w:pPr>
        <w:topLinePunct/>
        <w:adjustRightInd w:val="0"/>
        <w:snapToGrid w:val="0"/>
        <w:spacing w:line="380" w:lineRule="exact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民事法律关系</w:t>
      </w:r>
    </w:p>
    <w:p w14:paraId="24038D37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2.1民事权利</w:t>
      </w:r>
    </w:p>
    <w:p w14:paraId="374D33D3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2.2民事义务</w:t>
      </w:r>
    </w:p>
    <w:p w14:paraId="27C9EC03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2.3民事责任</w:t>
      </w:r>
    </w:p>
    <w:p w14:paraId="086FF813">
      <w:pPr>
        <w:topLinePunct/>
        <w:adjustRightInd w:val="0"/>
        <w:snapToGrid w:val="0"/>
        <w:spacing w:line="380" w:lineRule="exact"/>
        <w:ind w:firstLine="240" w:firstLineChars="1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民事主体</w:t>
      </w:r>
    </w:p>
    <w:p w14:paraId="4A8CA13B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3.1自然人的民事权利能力</w:t>
      </w:r>
    </w:p>
    <w:p w14:paraId="10123458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3.2自然人的民事行为能力</w:t>
      </w:r>
    </w:p>
    <w:p w14:paraId="256EDAA1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3.3宣告失踪与宣告死亡</w:t>
      </w:r>
    </w:p>
    <w:p w14:paraId="28C610FB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3.4监护制度</w:t>
      </w:r>
    </w:p>
    <w:p w14:paraId="51863364">
      <w:pPr>
        <w:topLinePunct/>
        <w:adjustRightInd w:val="0"/>
        <w:snapToGrid w:val="0"/>
        <w:spacing w:line="380" w:lineRule="exact"/>
        <w:ind w:firstLine="240" w:firstLineChars="1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民事法律行为</w:t>
      </w:r>
    </w:p>
    <w:p w14:paraId="246E64BD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4.1民事法律行为的成立及生效</w:t>
      </w:r>
    </w:p>
    <w:p w14:paraId="3A1B5F3B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4.2无效民事行为</w:t>
      </w:r>
    </w:p>
    <w:p w14:paraId="47213998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4.3可撤销民事行为</w:t>
      </w:r>
    </w:p>
    <w:p w14:paraId="60AB49EB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4.4效力待定民事行为</w:t>
      </w:r>
    </w:p>
    <w:p w14:paraId="263FA413">
      <w:pPr>
        <w:topLinePunct/>
        <w:adjustRightInd w:val="0"/>
        <w:snapToGrid w:val="0"/>
        <w:spacing w:line="380" w:lineRule="exact"/>
        <w:ind w:firstLine="240" w:firstLineChars="1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5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民事相关制度</w:t>
      </w:r>
    </w:p>
    <w:p w14:paraId="72862F5C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5.1代理制度</w:t>
      </w:r>
    </w:p>
    <w:p w14:paraId="20D3E10C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5.2诉讼时效制度</w:t>
      </w:r>
    </w:p>
    <w:p w14:paraId="7B6D5050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（二）物权</w:t>
      </w:r>
    </w:p>
    <w:p w14:paraId="2BAF0DCA">
      <w:pPr>
        <w:topLinePunct/>
        <w:adjustRightInd w:val="0"/>
        <w:snapToGrid w:val="0"/>
        <w:spacing w:line="380" w:lineRule="exact"/>
        <w:ind w:firstLine="240" w:firstLineChars="1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物权变动</w:t>
      </w:r>
    </w:p>
    <w:p w14:paraId="75B0DA9E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1.1物权效力</w:t>
      </w:r>
    </w:p>
    <w:p w14:paraId="1CBFD03E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1.2物权变动模式</w:t>
      </w:r>
    </w:p>
    <w:p w14:paraId="05A4A348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1.3物权保护方法</w:t>
      </w:r>
    </w:p>
    <w:p w14:paraId="1818C2F2">
      <w:pPr>
        <w:topLinePunct/>
        <w:adjustRightInd w:val="0"/>
        <w:snapToGrid w:val="0"/>
        <w:spacing w:line="380" w:lineRule="exact"/>
        <w:ind w:firstLine="240" w:firstLineChars="1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所有权</w:t>
      </w:r>
    </w:p>
    <w:p w14:paraId="08FB83D3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2.1所有权的类型</w:t>
      </w:r>
    </w:p>
    <w:p w14:paraId="33FCFB30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2.2所有权的取得方式</w:t>
      </w:r>
    </w:p>
    <w:p w14:paraId="0B3D297F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2.3共有关系</w:t>
      </w:r>
    </w:p>
    <w:p w14:paraId="446DA46F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2.4相邻关系</w:t>
      </w:r>
    </w:p>
    <w:p w14:paraId="3D4A121D">
      <w:pPr>
        <w:topLinePunct/>
        <w:adjustRightInd w:val="0"/>
        <w:snapToGrid w:val="0"/>
        <w:spacing w:line="380" w:lineRule="exact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用益物权</w:t>
      </w:r>
    </w:p>
    <w:p w14:paraId="5DA5A991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土地承包经营权</w:t>
      </w:r>
    </w:p>
    <w:p w14:paraId="37670102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建设用地使用权</w:t>
      </w:r>
    </w:p>
    <w:p w14:paraId="059E81B2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宅基地使用权</w:t>
      </w:r>
    </w:p>
    <w:p w14:paraId="318C983D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地役权</w:t>
      </w:r>
    </w:p>
    <w:p w14:paraId="2CE24695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居住权</w:t>
      </w:r>
    </w:p>
    <w:p w14:paraId="7FBA8F74">
      <w:pPr>
        <w:topLinePunct/>
        <w:adjustRightInd w:val="0"/>
        <w:snapToGrid w:val="0"/>
        <w:spacing w:line="380" w:lineRule="exact"/>
        <w:ind w:firstLine="240" w:firstLineChars="1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4.担保物权</w:t>
      </w:r>
    </w:p>
    <w:p w14:paraId="331E405D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4.1担保的基本原理</w:t>
      </w:r>
    </w:p>
    <w:p w14:paraId="2A9806EE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4.2抵押担保</w:t>
      </w:r>
    </w:p>
    <w:p w14:paraId="254E9574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4.3质押担保</w:t>
      </w:r>
    </w:p>
    <w:p w14:paraId="52C8576F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4.4留置担保</w:t>
      </w:r>
    </w:p>
    <w:p w14:paraId="27B5410A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（三）债权</w:t>
      </w:r>
    </w:p>
    <w:p w14:paraId="6F8CF592">
      <w:pPr>
        <w:topLinePunct/>
        <w:adjustRightInd w:val="0"/>
        <w:snapToGrid w:val="0"/>
        <w:spacing w:line="380" w:lineRule="exact"/>
        <w:ind w:firstLine="240" w:firstLineChars="1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1.债的保全</w:t>
      </w:r>
    </w:p>
    <w:p w14:paraId="0DB5D32F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1.1债权人代位权</w:t>
      </w:r>
    </w:p>
    <w:p w14:paraId="13737058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1.2债权人撤销权</w:t>
      </w:r>
    </w:p>
    <w:p w14:paraId="534D9E68">
      <w:pPr>
        <w:topLinePunct/>
        <w:adjustRightInd w:val="0"/>
        <w:snapToGrid w:val="0"/>
        <w:spacing w:line="380" w:lineRule="exact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合同履行</w:t>
      </w:r>
    </w:p>
    <w:p w14:paraId="63C2DA6A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2.1合同履行原则</w:t>
      </w:r>
    </w:p>
    <w:p w14:paraId="4EA99145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2.2合同履行中的抗辩权</w:t>
      </w:r>
    </w:p>
    <w:p w14:paraId="4A955051">
      <w:pPr>
        <w:topLinePunct/>
        <w:adjustRightInd w:val="0"/>
        <w:snapToGrid w:val="0"/>
        <w:spacing w:line="380" w:lineRule="exact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主要合同类型</w:t>
      </w:r>
    </w:p>
    <w:p w14:paraId="5D370BC4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转移财产权的合同</w:t>
      </w:r>
    </w:p>
    <w:p w14:paraId="59FF16F2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提供劳务的合同</w:t>
      </w:r>
    </w:p>
    <w:p w14:paraId="37C34B05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债权担保类合同</w:t>
      </w:r>
    </w:p>
    <w:p w14:paraId="2552BD86">
      <w:pPr>
        <w:topLinePunct/>
        <w:adjustRightInd w:val="0"/>
        <w:snapToGrid w:val="0"/>
        <w:spacing w:line="380" w:lineRule="exact"/>
        <w:ind w:firstLine="240" w:firstLineChars="1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违约责任</w:t>
      </w:r>
    </w:p>
    <w:p w14:paraId="723D883B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4.1违约行为形态</w:t>
      </w:r>
    </w:p>
    <w:p w14:paraId="03F6D98F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4.2违约责任承担</w:t>
      </w:r>
    </w:p>
    <w:p w14:paraId="21666016">
      <w:pPr>
        <w:topLinePunct/>
        <w:adjustRightInd w:val="0"/>
        <w:snapToGrid w:val="0"/>
        <w:spacing w:line="380" w:lineRule="exac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（四）侵权责任</w:t>
      </w:r>
    </w:p>
    <w:p w14:paraId="6E455113">
      <w:pPr>
        <w:topLinePunct/>
        <w:adjustRightInd w:val="0"/>
        <w:snapToGrid w:val="0"/>
        <w:spacing w:line="380" w:lineRule="exact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1.侵权行为的归责原则</w:t>
      </w:r>
    </w:p>
    <w:p w14:paraId="0DAE7FDA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1.1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过错责任原则</w:t>
      </w:r>
    </w:p>
    <w:p w14:paraId="5661CFE2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1.2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无过错责任原则</w:t>
      </w:r>
    </w:p>
    <w:p w14:paraId="2554904C">
      <w:pPr>
        <w:topLinePunct/>
        <w:adjustRightInd w:val="0"/>
        <w:snapToGrid w:val="0"/>
        <w:spacing w:line="380" w:lineRule="exact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2.一般侵权行为的构成要件</w:t>
      </w:r>
    </w:p>
    <w:p w14:paraId="0C4A06DC">
      <w:pPr>
        <w:topLinePunct/>
        <w:adjustRightInd w:val="0"/>
        <w:snapToGrid w:val="0"/>
        <w:spacing w:line="3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共同侵权责任</w:t>
      </w:r>
    </w:p>
    <w:p w14:paraId="46A390F8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3.1</w:t>
      </w:r>
      <w:r>
        <w:rPr>
          <w:rFonts w:hint="eastAsia" w:ascii="宋体" w:hAnsi="宋体" w:eastAsia="宋体" w:cs="宋体"/>
          <w:sz w:val="24"/>
          <w:szCs w:val="24"/>
        </w:rPr>
        <w:t>共同加害行为责任</w:t>
      </w:r>
    </w:p>
    <w:p w14:paraId="2EB22DD5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3.2</w:t>
      </w:r>
      <w:r>
        <w:rPr>
          <w:rFonts w:hint="eastAsia" w:ascii="宋体" w:hAnsi="宋体" w:eastAsia="宋体" w:cs="宋体"/>
          <w:sz w:val="24"/>
          <w:szCs w:val="24"/>
        </w:rPr>
        <w:t>共同危险行为责任</w:t>
      </w:r>
    </w:p>
    <w:p w14:paraId="266416BF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3.3</w:t>
      </w:r>
      <w:r>
        <w:rPr>
          <w:rFonts w:hint="eastAsia" w:ascii="宋体" w:hAnsi="宋体" w:eastAsia="宋体" w:cs="宋体"/>
          <w:sz w:val="24"/>
          <w:szCs w:val="24"/>
        </w:rPr>
        <w:t>教唆帮助行为责任</w:t>
      </w:r>
    </w:p>
    <w:p w14:paraId="1CCE34A8">
      <w:pPr>
        <w:topLinePunct/>
        <w:adjustRightInd w:val="0"/>
        <w:snapToGrid w:val="0"/>
        <w:spacing w:line="380" w:lineRule="exac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特殊侵权责任</w:t>
      </w:r>
    </w:p>
    <w:p w14:paraId="654D155A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4.1</w:t>
      </w:r>
      <w:r>
        <w:rPr>
          <w:rFonts w:hint="eastAsia" w:ascii="宋体" w:hAnsi="宋体" w:eastAsia="宋体" w:cs="宋体"/>
          <w:sz w:val="24"/>
          <w:szCs w:val="24"/>
        </w:rPr>
        <w:t>无过错责任的适用</w:t>
      </w:r>
    </w:p>
    <w:p w14:paraId="64C34DEE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4.2</w:t>
      </w:r>
      <w:r>
        <w:rPr>
          <w:rFonts w:hint="eastAsia" w:ascii="宋体" w:hAnsi="宋体" w:eastAsia="宋体" w:cs="宋体"/>
          <w:sz w:val="24"/>
          <w:szCs w:val="24"/>
        </w:rPr>
        <w:t>过错推定的适用</w:t>
      </w:r>
    </w:p>
    <w:p w14:paraId="02FA721D">
      <w:pPr>
        <w:topLinePunct/>
        <w:adjustRightInd w:val="0"/>
        <w:snapToGrid w:val="0"/>
        <w:spacing w:line="3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侵权损害赔偿</w:t>
      </w:r>
    </w:p>
    <w:p w14:paraId="5531D14E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5.1</w:t>
      </w:r>
      <w:r>
        <w:rPr>
          <w:rFonts w:hint="eastAsia" w:ascii="宋体" w:hAnsi="宋体" w:eastAsia="宋体" w:cs="宋体"/>
          <w:sz w:val="24"/>
          <w:szCs w:val="24"/>
        </w:rPr>
        <w:t>财产损害赔偿</w:t>
      </w:r>
    </w:p>
    <w:p w14:paraId="56C79987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5.2</w:t>
      </w:r>
      <w:r>
        <w:rPr>
          <w:rFonts w:hint="eastAsia" w:ascii="宋体" w:hAnsi="宋体" w:eastAsia="宋体" w:cs="宋体"/>
          <w:sz w:val="24"/>
          <w:szCs w:val="24"/>
        </w:rPr>
        <w:t>精神损害赔偿</w:t>
      </w:r>
    </w:p>
    <w:p w14:paraId="5B8C1214">
      <w:pPr>
        <w:topLinePunct/>
        <w:adjustRightInd w:val="0"/>
        <w:snapToGrid w:val="0"/>
        <w:spacing w:line="380" w:lineRule="exac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（五）婚姻继承</w:t>
      </w:r>
    </w:p>
    <w:p w14:paraId="2E45803F">
      <w:pPr>
        <w:topLinePunct/>
        <w:adjustRightInd w:val="0"/>
        <w:snapToGrid w:val="0"/>
        <w:spacing w:line="380" w:lineRule="exac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婚姻</w:t>
      </w:r>
    </w:p>
    <w:p w14:paraId="3B700007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1.1</w:t>
      </w:r>
      <w:r>
        <w:rPr>
          <w:rFonts w:hint="eastAsia" w:ascii="宋体" w:hAnsi="宋体" w:eastAsia="宋体" w:cs="宋体"/>
          <w:sz w:val="24"/>
          <w:szCs w:val="24"/>
        </w:rPr>
        <w:t>婚姻效力</w:t>
      </w:r>
    </w:p>
    <w:p w14:paraId="2635AAEE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1.2</w:t>
      </w:r>
      <w:r>
        <w:rPr>
          <w:rFonts w:hint="eastAsia" w:ascii="宋体" w:hAnsi="宋体" w:eastAsia="宋体" w:cs="宋体"/>
          <w:sz w:val="24"/>
          <w:szCs w:val="24"/>
        </w:rPr>
        <w:t>婚姻财产分配</w:t>
      </w:r>
    </w:p>
    <w:p w14:paraId="65FE66CF">
      <w:pPr>
        <w:topLinePunct/>
        <w:adjustRightInd w:val="0"/>
        <w:snapToGrid w:val="0"/>
        <w:spacing w:line="380" w:lineRule="exac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继承</w:t>
      </w:r>
    </w:p>
    <w:p w14:paraId="760D0FC4">
      <w:pPr>
        <w:spacing w:line="380" w:lineRule="exact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法定继承</w:t>
      </w:r>
    </w:p>
    <w:p w14:paraId="7280D6D9">
      <w:pPr>
        <w:spacing w:line="38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2.2</w:t>
      </w:r>
      <w:r>
        <w:rPr>
          <w:rFonts w:hint="eastAsia" w:ascii="宋体" w:hAnsi="宋体" w:eastAsia="宋体" w:cs="宋体"/>
          <w:sz w:val="24"/>
          <w:szCs w:val="24"/>
        </w:rPr>
        <w:t>代位继承</w:t>
      </w:r>
    </w:p>
    <w:p w14:paraId="3AE520A0">
      <w:pPr>
        <w:spacing w:line="38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2.3</w:t>
      </w:r>
      <w:r>
        <w:rPr>
          <w:rFonts w:hint="eastAsia" w:ascii="宋体" w:hAnsi="宋体" w:eastAsia="宋体" w:cs="宋体"/>
          <w:sz w:val="24"/>
          <w:szCs w:val="24"/>
        </w:rPr>
        <w:t>转继承</w:t>
      </w:r>
    </w:p>
    <w:p w14:paraId="2CC7EDCB">
      <w:pPr>
        <w:spacing w:line="38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2.4</w:t>
      </w:r>
      <w:r>
        <w:rPr>
          <w:rFonts w:hint="eastAsia" w:ascii="宋体" w:hAnsi="宋体" w:eastAsia="宋体" w:cs="宋体"/>
          <w:sz w:val="24"/>
          <w:szCs w:val="24"/>
        </w:rPr>
        <w:t>遗嘱继承</w:t>
      </w:r>
    </w:p>
    <w:p w14:paraId="5A70237C">
      <w:pPr>
        <w:spacing w:line="380" w:lineRule="exact"/>
        <w:ind w:firstLine="480" w:firstLineChars="200"/>
        <w:rPr>
          <w:rFonts w:hint="eastAsia" w:ascii="方正书宋简体" w:eastAsia="方正书宋简体"/>
          <w:b/>
          <w:sz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2.5</w:t>
      </w:r>
      <w:r>
        <w:rPr>
          <w:rFonts w:hint="eastAsia" w:ascii="宋体" w:hAnsi="宋体" w:eastAsia="宋体" w:cs="宋体"/>
          <w:sz w:val="24"/>
          <w:szCs w:val="24"/>
        </w:rPr>
        <w:t>遗赠抚养协议</w:t>
      </w:r>
    </w:p>
    <w:p w14:paraId="22986CC4">
      <w:pPr>
        <w:topLinePunct/>
        <w:adjustRightInd w:val="0"/>
        <w:snapToGrid w:val="0"/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2F085FED">
      <w:pPr>
        <w:spacing w:line="240" w:lineRule="auto"/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、参考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书目</w:t>
      </w:r>
    </w:p>
    <w:p w14:paraId="6F54D026">
      <w:pPr>
        <w:spacing w:line="24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.《民法学》郭明瑞、房绍坤主编，高等教育出版社</w:t>
      </w:r>
    </w:p>
    <w:p w14:paraId="6EFDB1F3">
      <w:pPr>
        <w:spacing w:line="24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.《民法总论》梁慧星著，法律出版社</w:t>
      </w:r>
    </w:p>
    <w:sectPr>
      <w:pgSz w:w="11906" w:h="16838"/>
      <w:pgMar w:top="1134" w:right="1134" w:bottom="1134" w:left="1134" w:header="567" w:footer="62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简体">
    <w:altName w:val="苹方-简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2"/>
  <w:embedSystemFonts/>
  <w:bordersDoNotSurroundHeader w:val="1"/>
  <w:bordersDoNotSurroundFooter w:val="1"/>
  <w:hideSpellingErrors/>
  <w:hideGrammaticalError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YxYjU1ZGYyNzAyZjNiZDY0YTNmMWQwMDM3MWUxNDUifQ=="/>
  </w:docVars>
  <w:rsids>
    <w:rsidRoot w:val="55D6490C"/>
    <w:rsid w:val="002952E8"/>
    <w:rsid w:val="004602DE"/>
    <w:rsid w:val="004621D7"/>
    <w:rsid w:val="00542F2F"/>
    <w:rsid w:val="00674C28"/>
    <w:rsid w:val="00704CF9"/>
    <w:rsid w:val="007071F9"/>
    <w:rsid w:val="007653CF"/>
    <w:rsid w:val="007E01E1"/>
    <w:rsid w:val="008216B7"/>
    <w:rsid w:val="009A4DE8"/>
    <w:rsid w:val="009C3079"/>
    <w:rsid w:val="009D1C32"/>
    <w:rsid w:val="00A958FD"/>
    <w:rsid w:val="00C259A1"/>
    <w:rsid w:val="00C66942"/>
    <w:rsid w:val="00DE5CE8"/>
    <w:rsid w:val="00DF65E4"/>
    <w:rsid w:val="00EC08FE"/>
    <w:rsid w:val="00EC3650"/>
    <w:rsid w:val="00FE54C2"/>
    <w:rsid w:val="19D92898"/>
    <w:rsid w:val="1C006A5E"/>
    <w:rsid w:val="413F4B4D"/>
    <w:rsid w:val="41EA08B5"/>
    <w:rsid w:val="512F6EC2"/>
    <w:rsid w:val="55D6490C"/>
    <w:rsid w:val="FFB91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qFormat/>
    <w:uiPriority w:val="99"/>
    <w:rPr>
      <w:rFonts w:cs="Calibri"/>
      <w:kern w:val="2"/>
      <w:sz w:val="18"/>
      <w:szCs w:val="18"/>
    </w:rPr>
  </w:style>
  <w:style w:type="character" w:customStyle="1" w:styleId="7">
    <w:name w:val="页脚 Char"/>
    <w:link w:val="2"/>
    <w:qFormat/>
    <w:uiPriority w:val="99"/>
    <w:rPr>
      <w:rFonts w:cs="Calibri"/>
      <w:kern w:val="2"/>
      <w:sz w:val="18"/>
      <w:szCs w:val="18"/>
    </w:rPr>
  </w:style>
  <w:style w:type="paragraph" w:customStyle="1" w:styleId="8">
    <w:name w:val="彩色列表 - 强调文字颜色 1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synu</Company>
  <Pages>3</Pages>
  <Words>495</Words>
  <Characters>612</Characters>
  <Lines>6</Lines>
  <Paragraphs>1</Paragraphs>
  <TotalTime>3</TotalTime>
  <ScaleCrop>false</ScaleCrop>
  <LinksUpToDate>false</LinksUpToDate>
  <CharactersWithSpaces>612</CharactersWithSpaces>
  <Application>WPS Office_12.1.22218.22218_F1E327BC-269C-435d-A152-05C5408002CA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2023-09-06T11:25:00Z</dcterms:created>
  <dc:creator>Administrator</dc:creator>
  <cp:lastModifiedBy>妞妞</cp:lastModifiedBy>
  <dcterms:modified xsi:type="dcterms:W3CDTF">2025-08-21T10:08:31Z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2052-12.1.22218.22218</vt:lpwstr>
  </property>
  <property fmtid="{D5CDD505-2E9C-101B-9397-08002B2CF9AE}" pid="3" name="ICV">
    <vt:lpwstr>2B40DD3B27E403E59F7FA66835D238B4_43</vt:lpwstr>
  </property>
  <property fmtid="{D5CDD505-2E9C-101B-9397-08002B2CF9AE}" pid="4" name="KSOTemplateDocerSaveRecord">
    <vt:lpwstr>eyJoZGlkIjoiOTk3YzQ4MWVlMmYyMjJjY2MzNzg2ODRkZTQzZGY1YmQiLCJ1c2VySWQiOiIzMDA3NTQ4NDcifQ==</vt:lpwstr>
  </property>
</Properties>
</file>