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B137B">
      <w:pPr>
        <w:jc w:val="center"/>
        <w:rPr>
          <w:rFonts w:hint="eastAsia" w:ascii="楷体_GB2312" w:hAnsi="宋体" w:eastAsia="楷体_GB2312"/>
          <w:sz w:val="36"/>
          <w:szCs w:val="36"/>
        </w:rPr>
      </w:pPr>
    </w:p>
    <w:p w14:paraId="6EC6FC58">
      <w:pPr>
        <w:jc w:val="center"/>
        <w:rPr>
          <w:rFonts w:hint="eastAsia" w:ascii="楷体_GB2312" w:hAnsi="宋体" w:eastAsia="楷体_GB2312"/>
          <w:sz w:val="36"/>
          <w:szCs w:val="36"/>
        </w:rPr>
      </w:pPr>
    </w:p>
    <w:p w14:paraId="62CBB1AE">
      <w:pPr>
        <w:jc w:val="center"/>
        <w:rPr>
          <w:rFonts w:hint="eastAsia" w:ascii="楷体_GB2312" w:hAnsi="宋体" w:eastAsia="楷体_GB2312"/>
          <w:sz w:val="36"/>
          <w:szCs w:val="36"/>
        </w:rPr>
      </w:pPr>
    </w:p>
    <w:p w14:paraId="3B6C47D6">
      <w:pPr>
        <w:jc w:val="center"/>
        <w:rPr>
          <w:rFonts w:hint="eastAsia" w:ascii="楷体_GB2312" w:hAnsi="宋体" w:eastAsia="楷体_GB2312"/>
          <w:sz w:val="36"/>
          <w:szCs w:val="36"/>
        </w:rPr>
      </w:pPr>
      <w:r>
        <w:rPr>
          <w:rFonts w:ascii="Times New Roman" w:hAnsi="Times New Roman" w:eastAsia="宋体"/>
          <w:szCs w:val="21"/>
        </w:rPr>
        <w:drawing>
          <wp:anchor distT="0" distB="0" distL="114300" distR="114300" simplePos="0" relativeHeight="251659264" behindDoc="1" locked="0" layoutInCell="1" allowOverlap="1">
            <wp:simplePos x="0" y="0"/>
            <wp:positionH relativeFrom="column">
              <wp:posOffset>1371600</wp:posOffset>
            </wp:positionH>
            <wp:positionV relativeFrom="paragraph">
              <wp:posOffset>171450</wp:posOffset>
            </wp:positionV>
            <wp:extent cx="2533650" cy="5067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14:paraId="440CBE99">
      <w:pPr>
        <w:jc w:val="center"/>
        <w:rPr>
          <w:rFonts w:hint="eastAsia" w:ascii="楷体_GB2312" w:hAnsi="宋体" w:eastAsia="楷体_GB2312"/>
          <w:sz w:val="36"/>
          <w:szCs w:val="36"/>
        </w:rPr>
      </w:pPr>
    </w:p>
    <w:p w14:paraId="37F8D5F7">
      <w:pPr>
        <w:jc w:val="center"/>
        <w:rPr>
          <w:rFonts w:hint="eastAsia" w:ascii="楷体_GB2312" w:hAnsi="宋体" w:eastAsia="楷体_GB2312"/>
          <w:sz w:val="44"/>
          <w:szCs w:val="44"/>
        </w:rPr>
      </w:pPr>
      <w:r>
        <w:rPr>
          <w:rFonts w:ascii="黑体" w:eastAsia="黑体" w:cs="黑体"/>
          <w:sz w:val="44"/>
          <w:szCs w:val="44"/>
        </w:rPr>
        <w:t>20</w:t>
      </w:r>
      <w:r>
        <w:rPr>
          <w:rFonts w:hint="eastAsia" w:ascii="黑体" w:eastAsia="黑体" w:cs="黑体"/>
          <w:sz w:val="44"/>
          <w:szCs w:val="44"/>
        </w:rPr>
        <w:t>2</w:t>
      </w:r>
      <w:r>
        <w:rPr>
          <w:rFonts w:hint="eastAsia" w:ascii="黑体" w:eastAsia="黑体" w:cs="黑体"/>
          <w:sz w:val="44"/>
          <w:szCs w:val="44"/>
          <w:lang w:val="en-US" w:eastAsia="zh-CN"/>
        </w:rPr>
        <w:t>6</w:t>
      </w:r>
      <w:r>
        <w:rPr>
          <w:rFonts w:hint="eastAsia" w:ascii="黑体" w:eastAsia="黑体" w:cs="黑体"/>
          <w:sz w:val="44"/>
          <w:szCs w:val="44"/>
        </w:rPr>
        <w:t>年全国硕士研究生招生考试大纲</w:t>
      </w:r>
    </w:p>
    <w:p w14:paraId="60352B29">
      <w:pPr>
        <w:jc w:val="center"/>
        <w:rPr>
          <w:rFonts w:eastAsia="楷体_GB2312"/>
          <w:sz w:val="44"/>
          <w:szCs w:val="44"/>
        </w:rPr>
      </w:pPr>
    </w:p>
    <w:p w14:paraId="72C5BA34">
      <w:pPr>
        <w:jc w:val="center"/>
        <w:rPr>
          <w:rFonts w:eastAsia="楷体_GB2312"/>
          <w:sz w:val="44"/>
          <w:szCs w:val="44"/>
        </w:rPr>
      </w:pPr>
    </w:p>
    <w:p w14:paraId="268555D4">
      <w:pPr>
        <w:jc w:val="center"/>
        <w:rPr>
          <w:rFonts w:eastAsia="楷体_GB2312"/>
          <w:sz w:val="44"/>
          <w:szCs w:val="44"/>
        </w:rPr>
      </w:pPr>
    </w:p>
    <w:p w14:paraId="643A6015">
      <w:pPr>
        <w:jc w:val="center"/>
        <w:rPr>
          <w:rFonts w:eastAsia="楷体_GB2312"/>
          <w:sz w:val="28"/>
          <w:szCs w:val="28"/>
        </w:rPr>
      </w:pPr>
    </w:p>
    <w:p w14:paraId="2E84FD11">
      <w:pPr>
        <w:jc w:val="center"/>
        <w:rPr>
          <w:rFonts w:eastAsia="楷体_GB2312"/>
          <w:sz w:val="28"/>
          <w:szCs w:val="28"/>
        </w:rPr>
      </w:pPr>
    </w:p>
    <w:p w14:paraId="3EED3D2F">
      <w:pPr>
        <w:jc w:val="center"/>
        <w:rPr>
          <w:rFonts w:eastAsia="楷体_GB2312"/>
          <w:sz w:val="28"/>
          <w:szCs w:val="28"/>
        </w:rPr>
      </w:pPr>
    </w:p>
    <w:p w14:paraId="2E50FCE8">
      <w:pPr>
        <w:ind w:left="1260" w:leftChars="600"/>
        <w:rPr>
          <w:rFonts w:hint="eastAsia"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820</w:t>
      </w:r>
    </w:p>
    <w:p w14:paraId="74031909">
      <w:pPr>
        <w:ind w:left="1260" w:leftChars="600"/>
        <w:rPr>
          <w:rFonts w:hint="eastAsia" w:ascii="楷体_GB2312" w:hAnsi="宋体" w:eastAsia="楷体_GB2312" w:cs="楷体_GB2312"/>
          <w:sz w:val="30"/>
          <w:szCs w:val="30"/>
        </w:rPr>
      </w:pPr>
      <w:r>
        <w:rPr>
          <w:rFonts w:hint="eastAsia" w:ascii="楷体_GB2312" w:hAnsi="宋体" w:eastAsia="楷体_GB2312" w:cs="楷体_GB2312"/>
          <w:sz w:val="30"/>
          <w:szCs w:val="30"/>
        </w:rPr>
        <w:t>科目名称：教育政策与法规</w:t>
      </w:r>
    </w:p>
    <w:p w14:paraId="35E4566C">
      <w:pPr>
        <w:ind w:left="1260" w:leftChars="600"/>
        <w:rPr>
          <w:rFonts w:hint="eastAsia" w:ascii="楷体_GB2312" w:hAnsi="宋体" w:eastAsia="楷体_GB2312"/>
          <w:sz w:val="30"/>
          <w:szCs w:val="30"/>
        </w:rPr>
      </w:pPr>
      <w:r>
        <w:rPr>
          <w:rFonts w:hint="eastAsia" w:ascii="楷体_GB2312" w:hAnsi="宋体" w:eastAsia="楷体_GB2312" w:cs="楷体_GB2312"/>
          <w:sz w:val="30"/>
          <w:szCs w:val="30"/>
        </w:rPr>
        <w:t>适用专业：教育硕士</w:t>
      </w:r>
    </w:p>
    <w:p w14:paraId="13D4334C">
      <w:pPr>
        <w:ind w:left="1260" w:leftChars="600"/>
        <w:rPr>
          <w:rFonts w:hint="eastAsia" w:ascii="楷体_GB2312" w:hAnsi="宋体" w:eastAsia="楷体_GB2312"/>
          <w:sz w:val="30"/>
          <w:szCs w:val="30"/>
        </w:rPr>
      </w:pPr>
      <w:r>
        <w:rPr>
          <w:rFonts w:hint="eastAsia" w:ascii="楷体_GB2312" w:hAnsi="宋体" w:eastAsia="楷体_GB2312" w:cs="楷体_GB2312"/>
          <w:sz w:val="30"/>
          <w:szCs w:val="30"/>
        </w:rPr>
        <w:t>制订单位：沈阳师范大学</w:t>
      </w:r>
    </w:p>
    <w:p w14:paraId="4EC097B7">
      <w:pPr>
        <w:ind w:left="1260" w:leftChars="600"/>
        <w:rPr>
          <w:rFonts w:hint="eastAsia" w:ascii="楷体_GB2312" w:hAnsi="宋体" w:eastAsia="楷体_GB2312"/>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w:t>
      </w:r>
      <w:r>
        <w:rPr>
          <w:rFonts w:hint="eastAsia" w:ascii="楷体_GB2312" w:hAnsi="宋体" w:eastAsia="楷体_GB2312" w:cs="楷体_GB2312"/>
          <w:sz w:val="30"/>
          <w:szCs w:val="30"/>
        </w:rPr>
        <w:t>2</w:t>
      </w:r>
      <w:r>
        <w:rPr>
          <w:rFonts w:hint="eastAsia" w:ascii="楷体_GB2312" w:hAnsi="宋体" w:eastAsia="楷体_GB2312" w:cs="楷体_GB2312"/>
          <w:sz w:val="30"/>
          <w:szCs w:val="30"/>
          <w:lang w:val="en-US" w:eastAsia="zh-CN"/>
        </w:rPr>
        <w:t>5</w:t>
      </w:r>
      <w:bookmarkStart w:id="7" w:name="_GoBack"/>
      <w:bookmarkEnd w:id="7"/>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p>
    <w:p w14:paraId="4D892EA8">
      <w:pPr>
        <w:jc w:val="center"/>
        <w:rPr>
          <w:rFonts w:ascii="宋体"/>
          <w:b/>
          <w:bCs/>
          <w:sz w:val="32"/>
          <w:szCs w:val="32"/>
        </w:rPr>
      </w:pPr>
    </w:p>
    <w:p w14:paraId="22CFC171">
      <w:pPr>
        <w:jc w:val="center"/>
        <w:rPr>
          <w:rFonts w:ascii="宋体"/>
          <w:b/>
          <w:bCs/>
          <w:sz w:val="32"/>
          <w:szCs w:val="32"/>
        </w:rPr>
      </w:pPr>
    </w:p>
    <w:p w14:paraId="173CE0CC">
      <w:pPr>
        <w:jc w:val="center"/>
        <w:rPr>
          <w:rFonts w:ascii="宋体"/>
          <w:b/>
          <w:bCs/>
          <w:sz w:val="32"/>
          <w:szCs w:val="32"/>
        </w:rPr>
      </w:pPr>
    </w:p>
    <w:p w14:paraId="1588B64C">
      <w:pPr>
        <w:jc w:val="center"/>
        <w:rPr>
          <w:rFonts w:ascii="宋体"/>
          <w:b/>
          <w:bCs/>
          <w:sz w:val="32"/>
          <w:szCs w:val="32"/>
        </w:rPr>
      </w:pPr>
    </w:p>
    <w:p w14:paraId="38C64053">
      <w:pPr>
        <w:jc w:val="center"/>
        <w:rPr>
          <w:rFonts w:ascii="宋体"/>
          <w:b/>
          <w:bCs/>
          <w:sz w:val="32"/>
          <w:szCs w:val="32"/>
        </w:rPr>
      </w:pPr>
    </w:p>
    <w:p w14:paraId="289E8B44">
      <w:pPr>
        <w:jc w:val="center"/>
        <w:rPr>
          <w:b/>
          <w:sz w:val="32"/>
          <w:szCs w:val="32"/>
        </w:rPr>
      </w:pPr>
      <w:r>
        <w:rPr>
          <w:rFonts w:hint="eastAsia"/>
          <w:b/>
          <w:sz w:val="32"/>
          <w:szCs w:val="32"/>
        </w:rPr>
        <w:t>《</w:t>
      </w:r>
      <w:bookmarkStart w:id="0" w:name="_Hlk50731749"/>
      <w:r>
        <w:rPr>
          <w:rFonts w:hint="eastAsia"/>
          <w:b/>
          <w:sz w:val="32"/>
          <w:szCs w:val="32"/>
        </w:rPr>
        <w:t>教育政策与法规</w:t>
      </w:r>
      <w:bookmarkEnd w:id="0"/>
      <w:r>
        <w:rPr>
          <w:rFonts w:hint="eastAsia"/>
          <w:b/>
          <w:sz w:val="32"/>
          <w:szCs w:val="32"/>
        </w:rPr>
        <w:t>》考试大纲</w:t>
      </w:r>
    </w:p>
    <w:p w14:paraId="655184BF">
      <w:pPr>
        <w:jc w:val="left"/>
        <w:rPr>
          <w:b/>
          <w:sz w:val="24"/>
          <w:szCs w:val="24"/>
        </w:rPr>
      </w:pPr>
      <w:r>
        <w:rPr>
          <w:rFonts w:hint="eastAsia" w:ascii="黑体" w:hAnsi="黑体" w:eastAsia="黑体"/>
          <w:b/>
          <w:sz w:val="28"/>
        </w:rPr>
        <w:t>Ⅰ、</w:t>
      </w:r>
      <w:r>
        <w:rPr>
          <w:rFonts w:hint="eastAsia"/>
          <w:b/>
          <w:sz w:val="24"/>
          <w:szCs w:val="24"/>
        </w:rPr>
        <w:t>考试性质</w:t>
      </w:r>
    </w:p>
    <w:p w14:paraId="035E7373">
      <w:pPr>
        <w:spacing w:line="360" w:lineRule="auto"/>
        <w:rPr>
          <w:rFonts w:hint="eastAsia" w:ascii="宋体" w:hAnsi="宋体"/>
          <w:sz w:val="24"/>
          <w:szCs w:val="24"/>
        </w:rPr>
      </w:pPr>
      <w:r>
        <w:rPr>
          <w:rFonts w:hint="eastAsia"/>
          <w:b/>
          <w:sz w:val="32"/>
          <w:szCs w:val="32"/>
        </w:rPr>
        <w:t xml:space="preserve">  </w:t>
      </w:r>
      <w:r>
        <w:rPr>
          <w:rFonts w:hint="eastAsia"/>
          <w:sz w:val="32"/>
          <w:szCs w:val="32"/>
        </w:rPr>
        <w:t xml:space="preserve"> </w:t>
      </w:r>
      <w:r>
        <w:rPr>
          <w:rFonts w:hint="eastAsia"/>
          <w:sz w:val="24"/>
          <w:szCs w:val="24"/>
        </w:rPr>
        <w:t>《教育政策与法规》考试是为高等学校招收硕士研究生而设置的考试科目，其目的是科学、公平、有效地测试考生教育政策与法规的基础知识、基本理论的掌握程度以及对我国现行教育政策法规的理解及运用能力，以便</w:t>
      </w:r>
      <w:r>
        <w:rPr>
          <w:rFonts w:hint="eastAsia" w:ascii="宋体" w:hAnsi="宋体"/>
          <w:sz w:val="24"/>
          <w:szCs w:val="24"/>
        </w:rPr>
        <w:t>为高等学校筛选合格的考生，为推进和践行依法治教奠定良好的基础。</w:t>
      </w:r>
    </w:p>
    <w:p w14:paraId="597FB102">
      <w:pPr>
        <w:spacing w:line="440" w:lineRule="exact"/>
        <w:rPr>
          <w:rFonts w:hint="eastAsia" w:asciiTheme="minorEastAsia" w:hAnsiTheme="minorEastAsia"/>
          <w:sz w:val="24"/>
          <w:szCs w:val="24"/>
        </w:rPr>
      </w:pPr>
      <w:r>
        <w:rPr>
          <w:rFonts w:hint="eastAsia" w:ascii="黑体" w:hAnsi="黑体" w:eastAsia="黑体"/>
          <w:b/>
          <w:sz w:val="28"/>
        </w:rPr>
        <w:t>Ⅱ、</w:t>
      </w:r>
      <w:r>
        <w:rPr>
          <w:rFonts w:hint="eastAsia" w:cs="黑体" w:asciiTheme="minorEastAsia" w:hAnsiTheme="minorEastAsia"/>
          <w:b/>
          <w:bCs/>
          <w:sz w:val="24"/>
          <w:szCs w:val="24"/>
        </w:rPr>
        <w:t>考查目标及要求</w:t>
      </w:r>
    </w:p>
    <w:p w14:paraId="12B67657">
      <w:pPr>
        <w:spacing w:line="440" w:lineRule="exact"/>
        <w:rPr>
          <w:sz w:val="24"/>
          <w:szCs w:val="24"/>
        </w:rPr>
      </w:pPr>
      <w:r>
        <w:rPr>
          <w:rFonts w:hint="eastAsia" w:ascii="宋体" w:hAnsi="宋体" w:eastAsia="宋体"/>
          <w:sz w:val="32"/>
          <w:szCs w:val="32"/>
        </w:rPr>
        <w:t xml:space="preserve">   </w:t>
      </w:r>
      <w:r>
        <w:rPr>
          <w:rFonts w:hint="eastAsia" w:asciiTheme="minorEastAsia" w:hAnsiTheme="minorEastAsia"/>
          <w:sz w:val="24"/>
          <w:szCs w:val="24"/>
        </w:rPr>
        <w:t>为适应全面依法治教的新要求，</w:t>
      </w:r>
      <w:r>
        <w:rPr>
          <w:rFonts w:hint="eastAsia"/>
          <w:sz w:val="24"/>
          <w:szCs w:val="24"/>
        </w:rPr>
        <w:t>《教育政策与法规》考试注重对考生教育法律素养的测查，既考查考生对教育法基本概念、基本知识的领会和掌握程度，同时</w:t>
      </w:r>
      <w:r>
        <w:rPr>
          <w:rFonts w:hint="eastAsia"/>
          <w:color w:val="000000"/>
          <w:sz w:val="24"/>
          <w:szCs w:val="24"/>
        </w:rPr>
        <w:t>还考查考生对现行教育法内容的理解程度以及对教育法的实际运用能力。</w:t>
      </w:r>
    </w:p>
    <w:p w14:paraId="3ECE8B75">
      <w:pPr>
        <w:widowControl/>
        <w:wordWrap w:val="0"/>
        <w:spacing w:line="336" w:lineRule="auto"/>
        <w:jc w:val="left"/>
        <w:rPr>
          <w:rFonts w:ascii="Verdana" w:hAnsi="Verdana" w:eastAsia="宋体" w:cs="宋体"/>
          <w:b/>
          <w:bCs/>
          <w:color w:val="000000"/>
          <w:kern w:val="0"/>
          <w:sz w:val="24"/>
          <w:szCs w:val="24"/>
        </w:rPr>
      </w:pPr>
      <w:r>
        <w:rPr>
          <w:rFonts w:hint="eastAsia" w:ascii="黑体" w:hAnsi="黑体" w:eastAsia="黑体"/>
          <w:b/>
          <w:sz w:val="28"/>
        </w:rPr>
        <w:t>Ⅲ、</w:t>
      </w:r>
      <w:r>
        <w:rPr>
          <w:rFonts w:ascii="Verdana" w:hAnsi="Verdana" w:eastAsia="宋体" w:cs="宋体"/>
          <w:b/>
          <w:bCs/>
          <w:color w:val="000000"/>
          <w:kern w:val="0"/>
          <w:sz w:val="24"/>
          <w:szCs w:val="24"/>
        </w:rPr>
        <w:t>考</w:t>
      </w:r>
      <w:r>
        <w:rPr>
          <w:rFonts w:hint="eastAsia" w:ascii="Verdana" w:hAnsi="Verdana" w:eastAsia="宋体" w:cs="宋体"/>
          <w:b/>
          <w:bCs/>
          <w:color w:val="000000"/>
          <w:kern w:val="0"/>
          <w:sz w:val="24"/>
          <w:szCs w:val="24"/>
        </w:rPr>
        <w:t>查内容</w:t>
      </w:r>
    </w:p>
    <w:p w14:paraId="14C8E684">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一、教育法的基本原理</w:t>
      </w:r>
    </w:p>
    <w:p w14:paraId="7A4015B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（一）教育法的含义及特性</w:t>
      </w:r>
    </w:p>
    <w:p w14:paraId="078DFD6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1.教育法的含义</w:t>
      </w:r>
    </w:p>
    <w:p w14:paraId="6D40007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2.教育法的特性</w:t>
      </w:r>
    </w:p>
    <w:p w14:paraId="4B5E7BB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（二）教育法坚持的基本原则</w:t>
      </w:r>
    </w:p>
    <w:p w14:paraId="02BE0FF4">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1.公益性</w:t>
      </w:r>
    </w:p>
    <w:p w14:paraId="5076B4A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2.平等性</w:t>
      </w:r>
    </w:p>
    <w:p w14:paraId="74FCEFD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3.终身性</w:t>
      </w:r>
    </w:p>
    <w:p w14:paraId="2689EA0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（三）教育权与受教育权</w:t>
      </w:r>
    </w:p>
    <w:p w14:paraId="13E460D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1.教育权</w:t>
      </w:r>
    </w:p>
    <w:p w14:paraId="3B64F95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2.公民的受教育权</w:t>
      </w:r>
    </w:p>
    <w:p w14:paraId="2BBD7C02">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3.教育权与受教育权的关系</w:t>
      </w:r>
    </w:p>
    <w:p w14:paraId="1F4B1B9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（四）教育法的渊源与体系</w:t>
      </w:r>
    </w:p>
    <w:p w14:paraId="1F6D3E0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1.教育法渊源的含义</w:t>
      </w:r>
    </w:p>
    <w:p w14:paraId="3CF2514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2.教育法的法律渊源</w:t>
      </w:r>
    </w:p>
    <w:p w14:paraId="3725522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3.教育法的体系</w:t>
      </w:r>
    </w:p>
    <w:p w14:paraId="2DCEA7C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（五）教育法律规范</w:t>
      </w:r>
    </w:p>
    <w:p w14:paraId="6C0804F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1.教育法律规范的含义及结构</w:t>
      </w:r>
    </w:p>
    <w:p w14:paraId="0AB358F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2.教育法律规范的类型</w:t>
      </w:r>
    </w:p>
    <w:p w14:paraId="1D69B30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3.教育法律规范与教育法、教育法律条文的关系</w:t>
      </w:r>
    </w:p>
    <w:p w14:paraId="7B07156C">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二、教育法律关系</w:t>
      </w:r>
    </w:p>
    <w:p w14:paraId="59CDBB4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（一）教育法律关系的含义、类型及特性</w:t>
      </w:r>
    </w:p>
    <w:p w14:paraId="44978EE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1.教育法律关系的含义</w:t>
      </w:r>
    </w:p>
    <w:p w14:paraId="05521F8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2.教育法律关系的类型</w:t>
      </w:r>
    </w:p>
    <w:p w14:paraId="3A8FDE8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3.教育法律关系的特性</w:t>
      </w:r>
    </w:p>
    <w:p w14:paraId="3C579C4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（二）教育法律关系的要素</w:t>
      </w:r>
    </w:p>
    <w:p w14:paraId="0813507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1.教育法律关系的主体</w:t>
      </w:r>
    </w:p>
    <w:p w14:paraId="6801FA8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2.教育法律关系的客体</w:t>
      </w:r>
    </w:p>
    <w:p w14:paraId="2EF51A6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3.教育法律关系的内容</w:t>
      </w:r>
    </w:p>
    <w:p w14:paraId="0C03E4C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（三）教育法律关系的形成、变更与消灭</w:t>
      </w:r>
    </w:p>
    <w:p w14:paraId="0C6D431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1.什么是教育法律关系的形成、变更与消灭</w:t>
      </w:r>
    </w:p>
    <w:p w14:paraId="56B3D984">
      <w:pPr>
        <w:widowControl/>
        <w:wordWrap w:val="0"/>
        <w:spacing w:line="336" w:lineRule="auto"/>
        <w:jc w:val="left"/>
        <w:rPr>
          <w:rFonts w:hint="eastAsia" w:cs="宋体" w:asciiTheme="minorEastAsia" w:hAnsiTheme="minorEastAsia"/>
          <w:color w:val="000000"/>
          <w:kern w:val="0"/>
          <w:sz w:val="24"/>
          <w:szCs w:val="24"/>
        </w:rPr>
      </w:pPr>
      <w:r>
        <w:rPr>
          <w:rFonts w:cs="宋体" w:asciiTheme="minorEastAsia" w:hAnsiTheme="minorEastAsia"/>
          <w:color w:val="000000"/>
          <w:kern w:val="0"/>
          <w:sz w:val="24"/>
          <w:szCs w:val="24"/>
        </w:rPr>
        <w:t>2</w:t>
      </w:r>
      <w:r>
        <w:rPr>
          <w:rFonts w:hint="eastAsia" w:cs="宋体" w:asciiTheme="minorEastAsia" w:hAnsiTheme="minorEastAsia"/>
          <w:color w:val="000000"/>
          <w:kern w:val="0"/>
          <w:sz w:val="24"/>
          <w:szCs w:val="24"/>
        </w:rPr>
        <w:t>.教育法律关系形成、变更与消灭的条件</w:t>
      </w:r>
    </w:p>
    <w:p w14:paraId="4CAC891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（四）教育权利主体及其相互关系</w:t>
      </w:r>
    </w:p>
    <w:p w14:paraId="12137BD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1.教育权利主体</w:t>
      </w:r>
    </w:p>
    <w:p w14:paraId="10839E9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2.教育权利主体之间的相互关系</w:t>
      </w:r>
    </w:p>
    <w:p w14:paraId="2467970B">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三、教育法的制定与实现</w:t>
      </w:r>
    </w:p>
    <w:p w14:paraId="351A3D7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（一）教育法的制定</w:t>
      </w:r>
    </w:p>
    <w:p w14:paraId="4AB4C81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1.法治与法制</w:t>
      </w:r>
    </w:p>
    <w:p w14:paraId="146DB7C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2.教育立法的含义</w:t>
      </w:r>
    </w:p>
    <w:p w14:paraId="502F624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3.教育立法的原则</w:t>
      </w:r>
    </w:p>
    <w:p w14:paraId="44DAC8C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4.教育立法权限的划分</w:t>
      </w:r>
    </w:p>
    <w:p w14:paraId="1854C1C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5.教育立法的基本程序</w:t>
      </w:r>
    </w:p>
    <w:p w14:paraId="069B8A9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（二）教育法的实施与实现</w:t>
      </w:r>
    </w:p>
    <w:p w14:paraId="1820E11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1.教育法实施的含义</w:t>
      </w:r>
    </w:p>
    <w:p w14:paraId="4068944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2.教育法实施的方式</w:t>
      </w:r>
    </w:p>
    <w:p w14:paraId="070CA4D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3.教育法的解释</w:t>
      </w:r>
    </w:p>
    <w:p w14:paraId="0B1B643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4.教育法的效力</w:t>
      </w:r>
    </w:p>
    <w:p w14:paraId="34DFF1E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5.教育法的实现</w:t>
      </w:r>
    </w:p>
    <w:p w14:paraId="0E505B6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（三）教育法制监督</w:t>
      </w:r>
    </w:p>
    <w:p w14:paraId="3BCE42A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1.什么是教育法制监督</w:t>
      </w:r>
    </w:p>
    <w:p w14:paraId="72DFACC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2.为什么要进行教育法制监督</w:t>
      </w:r>
    </w:p>
    <w:p w14:paraId="09F50DC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3.谁来进行教育法制监督</w:t>
      </w:r>
    </w:p>
    <w:p w14:paraId="191EC5A4">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四、法律责任与法律救济</w:t>
      </w:r>
    </w:p>
    <w:p w14:paraId="4C90F474">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（一）法律责任</w:t>
      </w:r>
    </w:p>
    <w:p w14:paraId="6FFED1B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1.法律责任的含义与特征</w:t>
      </w:r>
    </w:p>
    <w:p w14:paraId="1DC14A6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2.归责原则</w:t>
      </w:r>
    </w:p>
    <w:p w14:paraId="1B5120B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3.法律责任的构成要件</w:t>
      </w:r>
    </w:p>
    <w:p w14:paraId="12612CF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4.法律责任的类型</w:t>
      </w:r>
    </w:p>
    <w:p w14:paraId="35074F82">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5.法律责任的实现</w:t>
      </w:r>
    </w:p>
    <w:p w14:paraId="7481FC2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（二）法律救济</w:t>
      </w:r>
    </w:p>
    <w:p w14:paraId="39B33A6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1.法律救济的含义</w:t>
      </w:r>
    </w:p>
    <w:p w14:paraId="2BD4AAA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2,法律救济的特征</w:t>
      </w:r>
    </w:p>
    <w:p w14:paraId="18A4BB9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3.法律救济的途径</w:t>
      </w:r>
    </w:p>
    <w:p w14:paraId="02BC61CD">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五、教育基本制度</w:t>
      </w:r>
    </w:p>
    <w:p w14:paraId="1000AAD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（一）学校教育制度</w:t>
      </w:r>
    </w:p>
    <w:p w14:paraId="04A620B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1.学前教育制度</w:t>
      </w:r>
    </w:p>
    <w:p w14:paraId="744208E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2.初等教育制度</w:t>
      </w:r>
    </w:p>
    <w:p w14:paraId="245DADB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3.中等教育制度</w:t>
      </w:r>
    </w:p>
    <w:p w14:paraId="38DE06B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4.高等教育制度</w:t>
      </w:r>
    </w:p>
    <w:p w14:paraId="38B588E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（二）义务教育制度</w:t>
      </w:r>
    </w:p>
    <w:p w14:paraId="2751021F">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1.义务教育的性质</w:t>
      </w:r>
    </w:p>
    <w:p w14:paraId="69CB25B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2.义务教育的学制</w:t>
      </w:r>
    </w:p>
    <w:p w14:paraId="3171ED9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3.义务教育的对象及权利</w:t>
      </w:r>
    </w:p>
    <w:p w14:paraId="7AB5729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4.国家、学校、家庭及社会的义务</w:t>
      </w:r>
    </w:p>
    <w:p w14:paraId="1DFA849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（三）职业教育制度、继续教育制度、扫除文盲教育制度</w:t>
      </w:r>
    </w:p>
    <w:p w14:paraId="2EBD7E6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1.职业教育制度</w:t>
      </w:r>
    </w:p>
    <w:p w14:paraId="36A8192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2.继续教育制度</w:t>
      </w:r>
    </w:p>
    <w:p w14:paraId="69DABDA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3.扫除文盲教育制度</w:t>
      </w:r>
    </w:p>
    <w:p w14:paraId="07AB3FA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w:t>
      </w:r>
      <w:bookmarkStart w:id="1" w:name="_Hlk50058980"/>
      <w:r>
        <w:rPr>
          <w:rFonts w:hint="eastAsia" w:cs="宋体" w:asciiTheme="minorEastAsia" w:hAnsiTheme="minorEastAsia"/>
          <w:color w:val="000000"/>
          <w:kern w:val="0"/>
          <w:sz w:val="24"/>
          <w:szCs w:val="24"/>
        </w:rPr>
        <w:t>国家教育考试制度</w:t>
      </w:r>
      <w:bookmarkEnd w:id="1"/>
      <w:r>
        <w:rPr>
          <w:rFonts w:hint="eastAsia" w:cs="宋体" w:asciiTheme="minorEastAsia" w:hAnsiTheme="minorEastAsia"/>
          <w:color w:val="000000"/>
          <w:kern w:val="0"/>
          <w:sz w:val="24"/>
          <w:szCs w:val="24"/>
        </w:rPr>
        <w:t>、</w:t>
      </w:r>
      <w:bookmarkStart w:id="2" w:name="_Hlk50058998"/>
      <w:r>
        <w:rPr>
          <w:rFonts w:hint="eastAsia" w:cs="宋体" w:asciiTheme="minorEastAsia" w:hAnsiTheme="minorEastAsia"/>
          <w:color w:val="000000"/>
          <w:kern w:val="0"/>
          <w:sz w:val="24"/>
          <w:szCs w:val="24"/>
        </w:rPr>
        <w:t>学业证书制度</w:t>
      </w:r>
      <w:bookmarkEnd w:id="2"/>
      <w:r>
        <w:rPr>
          <w:rFonts w:hint="eastAsia" w:cs="宋体" w:asciiTheme="minorEastAsia" w:hAnsiTheme="minorEastAsia"/>
          <w:color w:val="000000"/>
          <w:kern w:val="0"/>
          <w:sz w:val="24"/>
          <w:szCs w:val="24"/>
        </w:rPr>
        <w:t>、</w:t>
      </w:r>
      <w:bookmarkStart w:id="3" w:name="_Hlk50059020"/>
      <w:r>
        <w:rPr>
          <w:rFonts w:hint="eastAsia" w:cs="宋体" w:asciiTheme="minorEastAsia" w:hAnsiTheme="minorEastAsia"/>
          <w:color w:val="000000"/>
          <w:kern w:val="0"/>
          <w:sz w:val="24"/>
          <w:szCs w:val="24"/>
        </w:rPr>
        <w:t>学位制度</w:t>
      </w:r>
    </w:p>
    <w:bookmarkEnd w:id="3"/>
    <w:p w14:paraId="4FB5F782">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1.国家教育考试制度</w:t>
      </w:r>
    </w:p>
    <w:p w14:paraId="12E50A2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2.学业证书制度</w:t>
      </w:r>
    </w:p>
    <w:p w14:paraId="77C3181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3.学位制度</w:t>
      </w:r>
    </w:p>
    <w:p w14:paraId="127F09D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（五）</w:t>
      </w:r>
      <w:bookmarkStart w:id="4" w:name="_Hlk50059086"/>
      <w:r>
        <w:rPr>
          <w:rFonts w:hint="eastAsia" w:cs="宋体" w:asciiTheme="minorEastAsia" w:hAnsiTheme="minorEastAsia"/>
          <w:color w:val="000000"/>
          <w:kern w:val="0"/>
          <w:sz w:val="24"/>
          <w:szCs w:val="24"/>
        </w:rPr>
        <w:t>教育督导制度</w:t>
      </w:r>
      <w:bookmarkEnd w:id="4"/>
      <w:r>
        <w:rPr>
          <w:rFonts w:hint="eastAsia" w:cs="宋体" w:asciiTheme="minorEastAsia" w:hAnsiTheme="minorEastAsia"/>
          <w:color w:val="000000"/>
          <w:kern w:val="0"/>
          <w:sz w:val="24"/>
          <w:szCs w:val="24"/>
        </w:rPr>
        <w:t>与教育评估制度</w:t>
      </w:r>
    </w:p>
    <w:p w14:paraId="2EAA141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1.教育督导制度</w:t>
      </w:r>
    </w:p>
    <w:p w14:paraId="4DD08D2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2.教育评估制度</w:t>
      </w:r>
    </w:p>
    <w:p w14:paraId="54C47EEA">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六、国家及其行政机关</w:t>
      </w:r>
    </w:p>
    <w:p w14:paraId="1145BE1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w:t>
      </w:r>
      <w:bookmarkStart w:id="5" w:name="_Hlk50059186"/>
      <w:r>
        <w:rPr>
          <w:rFonts w:hint="eastAsia" w:cs="宋体" w:asciiTheme="minorEastAsia" w:hAnsiTheme="minorEastAsia"/>
          <w:color w:val="000000"/>
          <w:kern w:val="0"/>
          <w:sz w:val="24"/>
          <w:szCs w:val="24"/>
        </w:rPr>
        <w:t>国家及其行政机关的教育权利</w:t>
      </w:r>
      <w:bookmarkEnd w:id="5"/>
      <w:r>
        <w:rPr>
          <w:rFonts w:hint="eastAsia" w:cs="宋体" w:asciiTheme="minorEastAsia" w:hAnsiTheme="minorEastAsia"/>
          <w:color w:val="000000"/>
          <w:kern w:val="0"/>
          <w:sz w:val="24"/>
          <w:szCs w:val="24"/>
        </w:rPr>
        <w:t>与义务</w:t>
      </w:r>
    </w:p>
    <w:p w14:paraId="3B9B0F9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1.国家及其行政机关的教育权利</w:t>
      </w:r>
    </w:p>
    <w:p w14:paraId="46B2D2E6">
      <w:pPr>
        <w:widowControl/>
        <w:wordWrap w:val="0"/>
        <w:spacing w:line="336" w:lineRule="auto"/>
        <w:jc w:val="left"/>
        <w:rPr>
          <w:rFonts w:hint="eastAsia" w:cs="宋体" w:asciiTheme="minorEastAsia" w:hAnsiTheme="minorEastAsia"/>
          <w:color w:val="000000"/>
          <w:kern w:val="0"/>
          <w:sz w:val="24"/>
          <w:szCs w:val="24"/>
        </w:rPr>
      </w:pPr>
      <w:r>
        <w:rPr>
          <w:rFonts w:cs="宋体" w:asciiTheme="minorEastAsia" w:hAnsiTheme="minorEastAsia"/>
          <w:color w:val="000000"/>
          <w:kern w:val="0"/>
          <w:sz w:val="24"/>
          <w:szCs w:val="24"/>
        </w:rPr>
        <w:t>2</w:t>
      </w:r>
      <w:r>
        <w:rPr>
          <w:rFonts w:hint="eastAsia" w:cs="宋体" w:asciiTheme="minorEastAsia" w:hAnsiTheme="minorEastAsia"/>
          <w:color w:val="000000"/>
          <w:kern w:val="0"/>
          <w:sz w:val="24"/>
          <w:szCs w:val="24"/>
        </w:rPr>
        <w:t>.国家及其行政机关的教育义务</w:t>
      </w:r>
    </w:p>
    <w:p w14:paraId="5551ABB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（二）国家及其行政机关违反教育法的法律责任</w:t>
      </w:r>
    </w:p>
    <w:p w14:paraId="3935E72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1.与举办学校相关的法律责任</w:t>
      </w:r>
    </w:p>
    <w:p w14:paraId="63F24C5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2.与学校建设相关的法律责任</w:t>
      </w:r>
    </w:p>
    <w:p w14:paraId="616778C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3.与经费管理相关的法律责任</w:t>
      </w:r>
    </w:p>
    <w:p w14:paraId="5991359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4.与考试及入学相关的法律责任</w:t>
      </w:r>
    </w:p>
    <w:p w14:paraId="32C1F71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5.与教师权益保障相关的法律责任</w:t>
      </w:r>
    </w:p>
    <w:p w14:paraId="5631E6C8">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七、学校</w:t>
      </w:r>
    </w:p>
    <w:p w14:paraId="536F58E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（一）学校的法律地位</w:t>
      </w:r>
    </w:p>
    <w:p w14:paraId="71B366D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1.学校法律地位的含义</w:t>
      </w:r>
    </w:p>
    <w:p w14:paraId="0A7E4CA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2.现行法对学校法律地位的界定</w:t>
      </w:r>
    </w:p>
    <w:p w14:paraId="2A4EB19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（二）学校的设立</w:t>
      </w:r>
    </w:p>
    <w:p w14:paraId="2800371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1.设立学校的基本条件</w:t>
      </w:r>
    </w:p>
    <w:p w14:paraId="2B4F290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2.设立学校的基本程序</w:t>
      </w:r>
    </w:p>
    <w:p w14:paraId="16E5D50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（三）学校的权利与义务</w:t>
      </w:r>
    </w:p>
    <w:p w14:paraId="0A2B0F9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1.学校的权利</w:t>
      </w:r>
    </w:p>
    <w:p w14:paraId="3101F2B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2.学校的义务</w:t>
      </w:r>
    </w:p>
    <w:p w14:paraId="32C92EA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（四）学校的法律责任</w:t>
      </w:r>
    </w:p>
    <w:p w14:paraId="6B104E4E">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1.与实施义务教育相关的法律责任</w:t>
      </w:r>
    </w:p>
    <w:p w14:paraId="6B98EDA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2.与办学、招生、考试、颁发证书相关的法律责任</w:t>
      </w:r>
    </w:p>
    <w:p w14:paraId="64E258D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未履行保护未成年学生义务的法律责任</w:t>
      </w:r>
    </w:p>
    <w:p w14:paraId="5A761D78">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学生伤害事故的法律责任</w:t>
      </w:r>
    </w:p>
    <w:p w14:paraId="005572BE">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八、教师</w:t>
      </w:r>
    </w:p>
    <w:p w14:paraId="691F96F2">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（一）教师的法律地位</w:t>
      </w:r>
    </w:p>
    <w:p w14:paraId="7BEEBD6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教师法律地位的含义</w:t>
      </w:r>
    </w:p>
    <w:p w14:paraId="10E4C11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对教师法律地位的理解</w:t>
      </w:r>
    </w:p>
    <w:p w14:paraId="32D0F49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（二）教师的权利与义务</w:t>
      </w:r>
    </w:p>
    <w:p w14:paraId="1543044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教师的权利</w:t>
      </w:r>
    </w:p>
    <w:p w14:paraId="47086BC4">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教师的义务</w:t>
      </w:r>
    </w:p>
    <w:p w14:paraId="291B12B9">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（三）教师的专业发展及管理制度</w:t>
      </w:r>
    </w:p>
    <w:p w14:paraId="0EAA18D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教师专业化的含义</w:t>
      </w:r>
    </w:p>
    <w:p w14:paraId="2E882E4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教师资格制度</w:t>
      </w:r>
    </w:p>
    <w:p w14:paraId="39640D6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教师职务制度</w:t>
      </w:r>
    </w:p>
    <w:p w14:paraId="4E63A17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4.教师聘任制度</w:t>
      </w:r>
    </w:p>
    <w:p w14:paraId="5F36BCD4">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5.教师培训制度</w:t>
      </w:r>
    </w:p>
    <w:p w14:paraId="51F7065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6.教师考核制度</w:t>
      </w:r>
    </w:p>
    <w:p w14:paraId="0CBB95C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（四）教师的法律责任</w:t>
      </w:r>
    </w:p>
    <w:p w14:paraId="136D6FB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1.不履行教育教学义务的法律责任</w:t>
      </w:r>
    </w:p>
    <w:p w14:paraId="6862E44A">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2.侵犯学生人身权、受教育权的法律责任</w:t>
      </w:r>
    </w:p>
    <w:p w14:paraId="34DCE8EA">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九、学生</w:t>
      </w:r>
    </w:p>
    <w:p w14:paraId="19E0206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（一）学生的</w:t>
      </w:r>
      <w:bookmarkStart w:id="6" w:name="_Hlk49975756"/>
      <w:r>
        <w:rPr>
          <w:rFonts w:hint="eastAsia" w:cs="宋体" w:asciiTheme="minorEastAsia" w:hAnsiTheme="minorEastAsia"/>
          <w:color w:val="000000"/>
          <w:kern w:val="0"/>
          <w:sz w:val="24"/>
          <w:szCs w:val="24"/>
        </w:rPr>
        <w:t>法律地位</w:t>
      </w:r>
    </w:p>
    <w:p w14:paraId="46486051">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1.学生法律地位的含义</w:t>
      </w:r>
    </w:p>
    <w:p w14:paraId="61A3ED2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2.现行法对学生法律地位的界定</w:t>
      </w:r>
    </w:p>
    <w:bookmarkEnd w:id="6"/>
    <w:p w14:paraId="68CDAFF5">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（二）学生的权利与义务</w:t>
      </w:r>
    </w:p>
    <w:p w14:paraId="35E42C1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1.学生的权利</w:t>
      </w:r>
    </w:p>
    <w:p w14:paraId="0D7C18EB">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2.学生的义务</w:t>
      </w:r>
    </w:p>
    <w:p w14:paraId="6CD4A97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（三）未成年学生的法律保护</w:t>
      </w:r>
    </w:p>
    <w:p w14:paraId="35752520">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1.人身权的保护</w:t>
      </w:r>
    </w:p>
    <w:p w14:paraId="6A1E04C7">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2.受教育权的保护</w:t>
      </w:r>
    </w:p>
    <w:p w14:paraId="1CAA436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（四）未成年学生的犯罪及其预防</w:t>
      </w:r>
    </w:p>
    <w:p w14:paraId="4AE96D1C">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1.未成年学生犯罪的界定</w:t>
      </w:r>
    </w:p>
    <w:p w14:paraId="780BB412">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2.未成年学生犯罪的特点及原因</w:t>
      </w:r>
    </w:p>
    <w:p w14:paraId="7407FBC4">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3.未成年学生犯罪的预防</w:t>
      </w:r>
    </w:p>
    <w:p w14:paraId="71527753">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（五）学生的法律责任</w:t>
      </w:r>
    </w:p>
    <w:p w14:paraId="03B8A55D">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1.在国家教育考试中违规应承担的法律责任</w:t>
      </w:r>
    </w:p>
    <w:p w14:paraId="5DAC9E26">
      <w:pPr>
        <w:widowControl/>
        <w:wordWrap w:val="0"/>
        <w:spacing w:line="336" w:lineRule="auto"/>
        <w:jc w:val="left"/>
        <w:rPr>
          <w:rFonts w:hint="eastAsia" w:cs="宋体" w:asciiTheme="minorEastAsia" w:hAnsiTheme="minorEastAsia"/>
          <w:color w:val="000000"/>
          <w:kern w:val="0"/>
          <w:sz w:val="24"/>
          <w:szCs w:val="24"/>
        </w:rPr>
      </w:pPr>
      <w:r>
        <w:rPr>
          <w:rFonts w:hint="eastAsia" w:cs="宋体" w:asciiTheme="minorEastAsia" w:hAnsiTheme="minorEastAsia"/>
          <w:color w:val="000000"/>
          <w:kern w:val="0"/>
          <w:sz w:val="24"/>
          <w:szCs w:val="24"/>
        </w:rPr>
        <w:t>2.教育活动中应承担的法律责任</w:t>
      </w:r>
    </w:p>
    <w:p w14:paraId="423C0EF1">
      <w:pPr>
        <w:widowControl/>
        <w:wordWrap w:val="0"/>
        <w:spacing w:line="336" w:lineRule="auto"/>
        <w:jc w:val="left"/>
        <w:rPr>
          <w:rFonts w:hint="eastAsia"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十、家庭与社会</w:t>
      </w:r>
    </w:p>
    <w:p w14:paraId="1516060D">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（一）家庭</w:t>
      </w:r>
    </w:p>
    <w:p w14:paraId="08F2D3AD">
      <w:pPr>
        <w:widowControl/>
        <w:wordWrap w:val="0"/>
        <w:spacing w:line="336" w:lineRule="auto"/>
        <w:jc w:val="left"/>
        <w:rPr>
          <w:rFonts w:hint="eastAsia" w:cs="宋体" w:asciiTheme="minorEastAsia" w:hAnsiTheme="minorEastAsia"/>
          <w:color w:val="000000"/>
          <w:kern w:val="0"/>
          <w:sz w:val="24"/>
          <w:szCs w:val="24"/>
        </w:rPr>
      </w:pPr>
      <w:r>
        <w:rPr>
          <w:rFonts w:hint="eastAsia" w:ascii="Verdana" w:hAnsi="Verdana" w:eastAsia="宋体" w:cs="宋体"/>
          <w:color w:val="000000"/>
          <w:kern w:val="0"/>
          <w:sz w:val="24"/>
          <w:szCs w:val="24"/>
        </w:rPr>
        <w:t>1.家庭的教育</w:t>
      </w:r>
      <w:r>
        <w:rPr>
          <w:rFonts w:hint="eastAsia" w:cs="宋体" w:asciiTheme="minorEastAsia" w:hAnsiTheme="minorEastAsia"/>
          <w:color w:val="000000"/>
          <w:kern w:val="0"/>
          <w:sz w:val="24"/>
          <w:szCs w:val="24"/>
        </w:rPr>
        <w:t>法律地位</w:t>
      </w:r>
    </w:p>
    <w:p w14:paraId="66AF5B1A">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2.家庭的教育权利与义务</w:t>
      </w:r>
    </w:p>
    <w:p w14:paraId="7046EAAE">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3.家庭的教育法律责任</w:t>
      </w:r>
    </w:p>
    <w:p w14:paraId="6BA6072D">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（二）社会</w:t>
      </w:r>
    </w:p>
    <w:p w14:paraId="5B6E2DD3">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1.社会的教育法律地位</w:t>
      </w:r>
    </w:p>
    <w:p w14:paraId="2CE0E7D2">
      <w:pPr>
        <w:widowControl/>
        <w:wordWrap w:val="0"/>
        <w:spacing w:line="336" w:lineRule="auto"/>
        <w:jc w:val="left"/>
        <w:rPr>
          <w:rFonts w:ascii="Verdana" w:hAnsi="Verdana" w:eastAsia="宋体" w:cs="宋体"/>
          <w:color w:val="000000"/>
          <w:kern w:val="0"/>
          <w:sz w:val="24"/>
          <w:szCs w:val="24"/>
        </w:rPr>
      </w:pPr>
      <w:r>
        <w:rPr>
          <w:rFonts w:ascii="Verdana" w:hAnsi="Verdana" w:eastAsia="宋体" w:cs="宋体"/>
          <w:color w:val="000000"/>
          <w:kern w:val="0"/>
          <w:sz w:val="24"/>
          <w:szCs w:val="24"/>
        </w:rPr>
        <w:t>2</w:t>
      </w:r>
      <w:r>
        <w:rPr>
          <w:rFonts w:hint="eastAsia" w:ascii="Verdana" w:hAnsi="Verdana" w:eastAsia="宋体" w:cs="宋体"/>
          <w:color w:val="000000"/>
          <w:kern w:val="0"/>
          <w:sz w:val="24"/>
          <w:szCs w:val="24"/>
        </w:rPr>
        <w:t>.社会的教育权利与义务</w:t>
      </w:r>
    </w:p>
    <w:p w14:paraId="4B2A39E8">
      <w:pPr>
        <w:widowControl/>
        <w:wordWrap w:val="0"/>
        <w:spacing w:line="336" w:lineRule="auto"/>
        <w:jc w:val="left"/>
        <w:rPr>
          <w:rFonts w:ascii="Verdana" w:hAnsi="Verdana" w:eastAsia="宋体" w:cs="宋体"/>
          <w:color w:val="000000"/>
          <w:kern w:val="0"/>
          <w:sz w:val="24"/>
          <w:szCs w:val="24"/>
        </w:rPr>
      </w:pPr>
      <w:r>
        <w:rPr>
          <w:rFonts w:hint="eastAsia" w:ascii="Verdana" w:hAnsi="Verdana" w:eastAsia="宋体" w:cs="宋体"/>
          <w:color w:val="000000"/>
          <w:kern w:val="0"/>
          <w:sz w:val="24"/>
          <w:szCs w:val="24"/>
        </w:rPr>
        <w:t>3.社会的教育法律责任</w:t>
      </w:r>
    </w:p>
    <w:p w14:paraId="2DFC5239">
      <w:pPr>
        <w:widowControl/>
        <w:wordWrap w:val="0"/>
        <w:spacing w:line="336" w:lineRule="auto"/>
        <w:jc w:val="left"/>
        <w:rPr>
          <w:rFonts w:ascii="Verdana" w:hAnsi="Verdana" w:eastAsia="宋体" w:cs="宋体"/>
          <w:color w:val="000000"/>
          <w:kern w:val="0"/>
          <w:sz w:val="24"/>
          <w:szCs w:val="24"/>
        </w:rPr>
      </w:pPr>
    </w:p>
    <w:p w14:paraId="43EB1F7C">
      <w:pPr>
        <w:spacing w:line="360" w:lineRule="auto"/>
        <w:rPr>
          <w:sz w:val="24"/>
        </w:rPr>
      </w:pPr>
      <w:r>
        <w:rPr>
          <w:rFonts w:hint="eastAsia" w:ascii="Verdana" w:hAnsi="Verdana" w:eastAsia="宋体" w:cs="宋体"/>
          <w:sz w:val="24"/>
          <w:szCs w:val="24"/>
        </w:rPr>
        <w:t>参考书目：</w:t>
      </w:r>
      <w:r>
        <w:rPr>
          <w:rFonts w:hint="eastAsia"/>
          <w:sz w:val="24"/>
        </w:rPr>
        <w:t>杨颖秀主编：《教育法学》（第四版），中国人民大学出版社（20</w:t>
      </w:r>
      <w:r>
        <w:rPr>
          <w:sz w:val="24"/>
        </w:rPr>
        <w:t>19</w:t>
      </w:r>
      <w:r>
        <w:rPr>
          <w:rFonts w:hint="eastAsia"/>
          <w:sz w:val="24"/>
        </w:rPr>
        <w:t>）</w:t>
      </w:r>
    </w:p>
    <w:p w14:paraId="2E23BC87">
      <w:pPr>
        <w:spacing w:line="336" w:lineRule="auto"/>
        <w:rPr>
          <w:rFonts w:ascii="Verdana" w:hAnsi="Verdana" w:eastAsia="宋体" w:cs="宋体"/>
          <w:szCs w:val="21"/>
        </w:rPr>
      </w:pPr>
    </w:p>
    <w:p w14:paraId="2C0450C6">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《中华人民共和国教育法》2021年4月29日修订；</w:t>
      </w:r>
    </w:p>
    <w:p w14:paraId="3C9B8B94">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《中华人民共和国家庭教育促进法》2021年10月23日；</w:t>
      </w:r>
    </w:p>
    <w:p w14:paraId="364689D4">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《中华人民共和国未成年人保护法》2021年10月17日颁布；</w:t>
      </w:r>
    </w:p>
    <w:p w14:paraId="4B22546B">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《中华人民共和国预防未成年人犯罪法》2020年12月26颁布；</w:t>
      </w:r>
    </w:p>
    <w:p w14:paraId="7F0D74DE">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《未成年人学校保护规定》2021年6月1日颁布；</w:t>
      </w:r>
    </w:p>
    <w:p w14:paraId="42496D59">
      <w:pPr>
        <w:spacing w:line="336" w:lineRule="auto"/>
        <w:rPr>
          <w:rFonts w:hint="eastAsia" w:ascii="宋体" w:hAnsi="宋体" w:eastAsia="宋体" w:cs="宋体"/>
          <w:b/>
          <w:bCs/>
          <w:sz w:val="24"/>
          <w:szCs w:val="24"/>
        </w:rPr>
      </w:pPr>
      <w:r>
        <w:rPr>
          <w:rFonts w:hint="eastAsia" w:ascii="宋体" w:hAnsi="宋体" w:eastAsia="宋体" w:cs="宋体"/>
          <w:b/>
          <w:bCs/>
          <w:sz w:val="24"/>
          <w:szCs w:val="24"/>
        </w:rPr>
        <w:t>《中小学教育惩戒规（试行）》2020年12月23日颁布。</w:t>
      </w:r>
    </w:p>
    <w:p w14:paraId="15F4BD2F">
      <w:pPr>
        <w:spacing w:line="336" w:lineRule="auto"/>
        <w:rPr>
          <w:rFonts w:hint="eastAsia" w:ascii="宋体" w:hAnsi="宋体" w:eastAsia="宋体" w:cs="宋体"/>
          <w:sz w:val="24"/>
          <w:szCs w:val="24"/>
        </w:rPr>
      </w:pPr>
    </w:p>
    <w:p w14:paraId="690A8359">
      <w:pPr>
        <w:rPr>
          <w:rFonts w:ascii="Verdana" w:hAnsi="Verdana" w:eastAsia="宋体" w:cs="宋体"/>
          <w:szCs w:val="21"/>
        </w:rPr>
      </w:pPr>
    </w:p>
    <w:p w14:paraId="535DCDEA">
      <w:pPr>
        <w:rPr>
          <w:rFonts w:ascii="Verdana" w:hAnsi="Verdana" w:eastAsia="宋体" w:cs="宋体"/>
          <w:color w:val="000000"/>
          <w:kern w:val="0"/>
          <w:szCs w:val="21"/>
        </w:rPr>
      </w:pPr>
    </w:p>
    <w:p w14:paraId="50B16904">
      <w:pPr>
        <w:tabs>
          <w:tab w:val="left" w:pos="2170"/>
        </w:tabs>
        <w:rPr>
          <w:rFonts w:ascii="Verdana" w:hAnsi="Verdana" w:eastAsia="宋体" w:cs="宋体"/>
          <w:szCs w:val="21"/>
        </w:rPr>
      </w:pPr>
      <w:r>
        <w:rPr>
          <w:rFonts w:ascii="Verdana" w:hAnsi="Verdana" w:eastAsia="宋体" w:cs="宋体"/>
          <w:szCs w:val="21"/>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YzNkMzBlZjE1NmQzZWZlM2YyNDMwNmFmNjBhOGQifQ=="/>
  </w:docVars>
  <w:rsids>
    <w:rsidRoot w:val="00664467"/>
    <w:rsid w:val="000152DE"/>
    <w:rsid w:val="00016C80"/>
    <w:rsid w:val="00053D74"/>
    <w:rsid w:val="000A78AF"/>
    <w:rsid w:val="000D4075"/>
    <w:rsid w:val="000E5706"/>
    <w:rsid w:val="000F2D15"/>
    <w:rsid w:val="00135B6A"/>
    <w:rsid w:val="00140C95"/>
    <w:rsid w:val="00152580"/>
    <w:rsid w:val="001846F0"/>
    <w:rsid w:val="001B078D"/>
    <w:rsid w:val="001C3B96"/>
    <w:rsid w:val="001D46CC"/>
    <w:rsid w:val="001D614E"/>
    <w:rsid w:val="001F6889"/>
    <w:rsid w:val="002033A3"/>
    <w:rsid w:val="00204C4D"/>
    <w:rsid w:val="00230CAC"/>
    <w:rsid w:val="00241B70"/>
    <w:rsid w:val="00270DEA"/>
    <w:rsid w:val="00284381"/>
    <w:rsid w:val="002D069B"/>
    <w:rsid w:val="002E7770"/>
    <w:rsid w:val="003178CD"/>
    <w:rsid w:val="0034045D"/>
    <w:rsid w:val="003B1150"/>
    <w:rsid w:val="003C0271"/>
    <w:rsid w:val="003D07AC"/>
    <w:rsid w:val="0040648D"/>
    <w:rsid w:val="0041539C"/>
    <w:rsid w:val="00460A6C"/>
    <w:rsid w:val="00473CB9"/>
    <w:rsid w:val="00485612"/>
    <w:rsid w:val="004963DE"/>
    <w:rsid w:val="004A65CA"/>
    <w:rsid w:val="004C16C8"/>
    <w:rsid w:val="004E3DA9"/>
    <w:rsid w:val="004F1A24"/>
    <w:rsid w:val="00503019"/>
    <w:rsid w:val="00521D0E"/>
    <w:rsid w:val="005269FD"/>
    <w:rsid w:val="00562688"/>
    <w:rsid w:val="005626FC"/>
    <w:rsid w:val="005829DF"/>
    <w:rsid w:val="00586E4E"/>
    <w:rsid w:val="005A357F"/>
    <w:rsid w:val="005D3324"/>
    <w:rsid w:val="005F48AC"/>
    <w:rsid w:val="006042F2"/>
    <w:rsid w:val="006558D1"/>
    <w:rsid w:val="00664467"/>
    <w:rsid w:val="006A3B28"/>
    <w:rsid w:val="006A6911"/>
    <w:rsid w:val="006B2180"/>
    <w:rsid w:val="006B5C35"/>
    <w:rsid w:val="0070557F"/>
    <w:rsid w:val="00705B42"/>
    <w:rsid w:val="00737700"/>
    <w:rsid w:val="00747391"/>
    <w:rsid w:val="007654C0"/>
    <w:rsid w:val="00765990"/>
    <w:rsid w:val="00815A4E"/>
    <w:rsid w:val="00823061"/>
    <w:rsid w:val="00855ABD"/>
    <w:rsid w:val="0087615F"/>
    <w:rsid w:val="008B1971"/>
    <w:rsid w:val="008E5969"/>
    <w:rsid w:val="00913F78"/>
    <w:rsid w:val="0092403F"/>
    <w:rsid w:val="0096275A"/>
    <w:rsid w:val="009765D3"/>
    <w:rsid w:val="009A4C8B"/>
    <w:rsid w:val="009F2FC2"/>
    <w:rsid w:val="00A04041"/>
    <w:rsid w:val="00A12D23"/>
    <w:rsid w:val="00A143C8"/>
    <w:rsid w:val="00AA7E8A"/>
    <w:rsid w:val="00AC66C4"/>
    <w:rsid w:val="00B54880"/>
    <w:rsid w:val="00B92FB3"/>
    <w:rsid w:val="00BC501F"/>
    <w:rsid w:val="00BD44F3"/>
    <w:rsid w:val="00C32689"/>
    <w:rsid w:val="00C83491"/>
    <w:rsid w:val="00C974A8"/>
    <w:rsid w:val="00CB03D4"/>
    <w:rsid w:val="00CC0D54"/>
    <w:rsid w:val="00CC2D16"/>
    <w:rsid w:val="00CC3F33"/>
    <w:rsid w:val="00CD1D38"/>
    <w:rsid w:val="00CE146F"/>
    <w:rsid w:val="00D068D9"/>
    <w:rsid w:val="00D260CF"/>
    <w:rsid w:val="00D408AD"/>
    <w:rsid w:val="00D4554D"/>
    <w:rsid w:val="00DA32A1"/>
    <w:rsid w:val="00DB1ADE"/>
    <w:rsid w:val="00E06032"/>
    <w:rsid w:val="00E078D7"/>
    <w:rsid w:val="00E106A6"/>
    <w:rsid w:val="00E12DE3"/>
    <w:rsid w:val="00E1611A"/>
    <w:rsid w:val="00E45170"/>
    <w:rsid w:val="00E648EC"/>
    <w:rsid w:val="00E95405"/>
    <w:rsid w:val="00EA3702"/>
    <w:rsid w:val="00EC33CB"/>
    <w:rsid w:val="00EC69D5"/>
    <w:rsid w:val="00EE0EF3"/>
    <w:rsid w:val="00F52D25"/>
    <w:rsid w:val="00F637B9"/>
    <w:rsid w:val="00FC0AF1"/>
    <w:rsid w:val="00FE2BE4"/>
    <w:rsid w:val="0DDC3E15"/>
    <w:rsid w:val="179065C6"/>
    <w:rsid w:val="2BE2480A"/>
    <w:rsid w:val="60DE7093"/>
    <w:rsid w:val="6EAF7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E6623-0CCC-414B-AA60-EEE5EDBE94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2072</Words>
  <Characters>2217</Characters>
  <Lines>18</Lines>
  <Paragraphs>5</Paragraphs>
  <TotalTime>0</TotalTime>
  <ScaleCrop>false</ScaleCrop>
  <LinksUpToDate>false</LinksUpToDate>
  <CharactersWithSpaces>2224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2017-08-17T13:42:00Z</dcterms:created>
  <dc:creator>PC</dc:creator>
  <cp:lastModifiedBy>本真</cp:lastModifiedBy>
  <dcterms:modified xsi:type="dcterms:W3CDTF">2025-09-04T05:54:55Z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3AF07762C4F1432DA507F7918EE9BACF_13</vt:lpwstr>
  </property>
  <property fmtid="{D5CDD505-2E9C-101B-9397-08002B2CF9AE}" pid="4" name="KSOTemplateDocerSaveRecord">
    <vt:lpwstr>eyJoZGlkIjoiNDQzMTJlOWRlZjQyMjU5NDJkN2ZiMzU1OWI4YWEwNjkiLCJ1c2VySWQiOiI0MDQ0NzU0OTcifQ==</vt:lpwstr>
  </property>
</Properties>
</file>