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633F2">
      <w:pPr>
        <w:widowControl/>
        <w:spacing w:line="720" w:lineRule="auto"/>
        <w:jc w:val="center"/>
        <w:outlineLvl w:val="0"/>
        <w:rPr>
          <w:rFonts w:ascii="方正小标宋简体" w:hAnsi="Arial" w:eastAsia="方正小标宋简体" w:cs="Arial"/>
          <w:color w:val="000000"/>
          <w:kern w:val="36"/>
          <w:sz w:val="36"/>
          <w:szCs w:val="36"/>
        </w:rPr>
      </w:pPr>
      <w:r>
        <w:rPr>
          <w:rFonts w:hint="eastAsia" w:ascii="方正小标宋简体" w:hAnsi="Arial" w:eastAsia="方正小标宋简体" w:cs="Arial"/>
          <w:color w:val="000000"/>
          <w:kern w:val="36"/>
          <w:sz w:val="36"/>
          <w:szCs w:val="36"/>
        </w:rPr>
        <w:t>关于面向全校征集</w:t>
      </w:r>
      <w:bookmarkStart w:id="0" w:name="_Hlk227307108"/>
      <w:r>
        <w:rPr>
          <w:rFonts w:hint="eastAsia" w:ascii="方正小标宋简体" w:hAnsi="Arial" w:eastAsia="方正小标宋简体" w:cs="Arial"/>
          <w:color w:val="000000"/>
          <w:kern w:val="36"/>
          <w:sz w:val="36"/>
          <w:szCs w:val="36"/>
        </w:rPr>
        <w:t>硕士研究生通识公共选修课</w:t>
      </w:r>
      <w:bookmarkEnd w:id="0"/>
      <w:r>
        <w:rPr>
          <w:rFonts w:hint="eastAsia" w:ascii="方正小标宋简体" w:hAnsi="Arial" w:eastAsia="方正小标宋简体" w:cs="Arial"/>
          <w:color w:val="000000"/>
          <w:kern w:val="36"/>
          <w:sz w:val="36"/>
          <w:szCs w:val="36"/>
        </w:rPr>
        <w:t>的通知</w:t>
      </w:r>
    </w:p>
    <w:p w14:paraId="35F3862F">
      <w:pPr>
        <w:keepNext w:val="0"/>
        <w:keepLines w:val="0"/>
        <w:pageBreakBefore w:val="0"/>
        <w:widowControl/>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全校各单位：</w:t>
      </w:r>
    </w:p>
    <w:p w14:paraId="5A6F868C">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bookmarkStart w:id="1" w:name="OLE_LINK4"/>
      <w:r>
        <w:rPr>
          <w:rFonts w:hint="eastAsia" w:ascii="仿宋_GB2312" w:hAnsi="仿宋_GB2312" w:eastAsia="仿宋_GB2312" w:cs="仿宋_GB2312"/>
          <w:color w:val="000000"/>
          <w:kern w:val="0"/>
          <w:sz w:val="30"/>
          <w:szCs w:val="30"/>
        </w:rPr>
        <w:t>为深入贯彻落实</w:t>
      </w:r>
      <w:bookmarkStart w:id="2" w:name="OLE_LINK5"/>
      <w:r>
        <w:rPr>
          <w:rFonts w:hint="eastAsia" w:ascii="仿宋_GB2312" w:hAnsi="仿宋_GB2312" w:eastAsia="仿宋_GB2312" w:cs="仿宋_GB2312"/>
          <w:color w:val="000000"/>
          <w:kern w:val="0"/>
          <w:sz w:val="30"/>
          <w:szCs w:val="30"/>
        </w:rPr>
        <w:t>《教育部关于加快新时代研究生教育改革发展的意见》（教研〔2020〕9号）、《教育部关于改进和加强研究生课程建设的意见》（教研〔2014〕5号）、《教育部关于深入推进学术学位与专业学位研究生教育分类发展的意见》（教研〔2023〕2号）等文件精神</w:t>
      </w:r>
      <w:bookmarkEnd w:id="2"/>
      <w:r>
        <w:rPr>
          <w:rFonts w:hint="eastAsia" w:ascii="仿宋_GB2312" w:hAnsi="仿宋_GB2312" w:eastAsia="仿宋_GB2312" w:cs="仿宋_GB2312"/>
          <w:color w:val="000000"/>
          <w:kern w:val="0"/>
          <w:sz w:val="30"/>
          <w:szCs w:val="30"/>
        </w:rPr>
        <w:t>，</w:t>
      </w:r>
      <w:bookmarkStart w:id="3" w:name="OLE_LINK9"/>
      <w:r>
        <w:rPr>
          <w:rFonts w:hint="eastAsia" w:ascii="仿宋_GB2312" w:hAnsi="仿宋_GB2312" w:eastAsia="仿宋_GB2312" w:cs="仿宋_GB2312"/>
          <w:color w:val="000000"/>
          <w:kern w:val="0"/>
          <w:sz w:val="30"/>
          <w:szCs w:val="30"/>
        </w:rPr>
        <w:t>进一步完善我校硕士研究生课程体系，</w:t>
      </w:r>
      <w:bookmarkStart w:id="4" w:name="OLE_LINK7"/>
      <w:r>
        <w:rPr>
          <w:rFonts w:hint="eastAsia" w:ascii="仿宋_GB2312" w:hAnsi="仿宋_GB2312" w:eastAsia="仿宋_GB2312" w:cs="仿宋_GB2312"/>
          <w:color w:val="000000"/>
          <w:kern w:val="0"/>
          <w:sz w:val="30"/>
          <w:szCs w:val="30"/>
        </w:rPr>
        <w:t>强化研究生通识教育与综合素养培育，</w:t>
      </w:r>
      <w:bookmarkEnd w:id="4"/>
      <w:r>
        <w:rPr>
          <w:rFonts w:hint="eastAsia" w:ascii="仿宋_GB2312" w:hAnsi="仿宋_GB2312" w:eastAsia="仿宋_GB2312" w:cs="仿宋_GB2312"/>
          <w:color w:val="000000"/>
          <w:kern w:val="0"/>
          <w:sz w:val="30"/>
          <w:szCs w:val="30"/>
        </w:rPr>
        <w:t>着力提升思政引领与法治安全、人文素养与科学精神、学术规范与科研能力、数字素养与智能技术、前沿交叉与全球视野、创新素养与全面发展水平，打造一批校级精品公共选修课程与“沈师研究生荣誉课程”</w:t>
      </w:r>
      <w:bookmarkEnd w:id="3"/>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rPr>
        <w:t>经研究生院研究，决定面向全校公开征集硕士研究生公共选修课选题，择优立项建设。现将有关事项通知如下：</w:t>
      </w:r>
    </w:p>
    <w:bookmarkEnd w:id="1"/>
    <w:p w14:paraId="0389A206">
      <w:pPr>
        <w:keepNext w:val="0"/>
        <w:keepLines w:val="0"/>
        <w:pageBreakBefore w:val="0"/>
        <w:widowControl/>
        <w:kinsoku/>
        <w:wordWrap/>
        <w:overflowPunct/>
        <w:topLinePunct w:val="0"/>
        <w:autoSpaceDE/>
        <w:autoSpaceDN/>
        <w:bidi w:val="0"/>
        <w:adjustRightInd/>
        <w:snapToGrid/>
        <w:spacing w:line="520" w:lineRule="exact"/>
        <w:ind w:left="0" w:firstLine="602" w:firstLineChars="200"/>
        <w:jc w:val="both"/>
        <w:textAlignment w:val="auto"/>
        <w:outlineLvl w:val="1"/>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一、征集对象</w:t>
      </w:r>
    </w:p>
    <w:p w14:paraId="521968A4">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全校各教学</w:t>
      </w:r>
      <w:r>
        <w:rPr>
          <w:rFonts w:hint="eastAsia" w:ascii="仿宋_GB2312" w:hAnsi="仿宋_GB2312" w:eastAsia="仿宋_GB2312" w:cs="仿宋_GB2312"/>
          <w:color w:val="000000"/>
          <w:kern w:val="0"/>
          <w:sz w:val="30"/>
          <w:szCs w:val="30"/>
          <w:highlight w:val="none"/>
          <w:lang w:val="en-US" w:eastAsia="zh-CN"/>
        </w:rPr>
        <w:t>教辅</w:t>
      </w:r>
      <w:r>
        <w:rPr>
          <w:rFonts w:hint="eastAsia" w:ascii="仿宋_GB2312" w:hAnsi="仿宋_GB2312" w:eastAsia="仿宋_GB2312" w:cs="仿宋_GB2312"/>
          <w:color w:val="000000"/>
          <w:kern w:val="0"/>
          <w:sz w:val="30"/>
          <w:szCs w:val="30"/>
        </w:rPr>
        <w:t>单位、科研机构在岗教师均可申报。</w:t>
      </w:r>
    </w:p>
    <w:p w14:paraId="33D038B7">
      <w:pPr>
        <w:keepNext w:val="0"/>
        <w:keepLines w:val="0"/>
        <w:pageBreakBefore w:val="0"/>
        <w:widowControl/>
        <w:kinsoku/>
        <w:wordWrap/>
        <w:overflowPunct/>
        <w:topLinePunct w:val="0"/>
        <w:autoSpaceDE/>
        <w:autoSpaceDN/>
        <w:bidi w:val="0"/>
        <w:adjustRightInd/>
        <w:snapToGrid/>
        <w:spacing w:line="520" w:lineRule="exact"/>
        <w:ind w:left="0" w:firstLine="602" w:firstLineChars="200"/>
        <w:jc w:val="both"/>
        <w:textAlignment w:val="auto"/>
        <w:outlineLvl w:val="1"/>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二、课程定位与要求</w:t>
      </w:r>
    </w:p>
    <w:p w14:paraId="561C95DA">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课程性质：硕士研究生全校性通识公共选修课</w:t>
      </w:r>
    </w:p>
    <w:p w14:paraId="21ADB014">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学时学分：16学时，1学分</w:t>
      </w:r>
    </w:p>
    <w:p w14:paraId="6A5D58BC">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开课时间：2026年9月开始（春、秋季学期均可开设）</w:t>
      </w:r>
    </w:p>
    <w:p w14:paraId="5B9AE809">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开课要求：三年内开设不少于3轮，保持稳定运行</w:t>
      </w:r>
    </w:p>
    <w:p w14:paraId="6D0479A6">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开课条件：选课人数达到学校规定规模方可开课</w:t>
      </w:r>
    </w:p>
    <w:p w14:paraId="27A57CF3">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授课对象：全校硕士研究生</w:t>
      </w:r>
    </w:p>
    <w:p w14:paraId="12B7367E">
      <w:pPr>
        <w:keepNext w:val="0"/>
        <w:keepLines w:val="0"/>
        <w:pageBreakBefore w:val="0"/>
        <w:widowControl/>
        <w:kinsoku/>
        <w:wordWrap/>
        <w:overflowPunct/>
        <w:topLinePunct w:val="0"/>
        <w:autoSpaceDE/>
        <w:autoSpaceDN/>
        <w:bidi w:val="0"/>
        <w:adjustRightInd/>
        <w:snapToGrid/>
        <w:spacing w:line="520" w:lineRule="exact"/>
        <w:ind w:left="0" w:firstLine="602" w:firstLineChars="200"/>
        <w:jc w:val="both"/>
        <w:textAlignment w:val="auto"/>
        <w:outlineLvl w:val="1"/>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三、课程建设类别</w:t>
      </w:r>
    </w:p>
    <w:p w14:paraId="08ED3E73">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outlineLvl w:val="1"/>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课程</w:t>
      </w:r>
      <w:bookmarkStart w:id="5" w:name="OLE_LINK8"/>
      <w:r>
        <w:rPr>
          <w:rFonts w:hint="eastAsia" w:ascii="仿宋_GB2312" w:hAnsi="仿宋_GB2312" w:eastAsia="仿宋_GB2312" w:cs="仿宋_GB2312"/>
          <w:color w:val="000000"/>
          <w:kern w:val="0"/>
          <w:sz w:val="30"/>
          <w:szCs w:val="30"/>
        </w:rPr>
        <w:t>须紧扣国家研究生教育改革方向，重点围绕以下领域申报：</w:t>
      </w:r>
    </w:p>
    <w:bookmarkEnd w:id="5"/>
    <w:p w14:paraId="59E7A3FA">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firstLine="600" w:firstLineChars="200"/>
        <w:jc w:val="both"/>
        <w:textAlignment w:val="auto"/>
        <w:outlineLvl w:val="1"/>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1.</w:t>
      </w:r>
      <w:r>
        <w:rPr>
          <w:rFonts w:hint="eastAsia" w:ascii="仿宋_GB2312" w:hAnsi="仿宋_GB2312" w:eastAsia="仿宋_GB2312" w:cs="仿宋_GB2312"/>
          <w:color w:val="000000"/>
          <w:kern w:val="0"/>
          <w:sz w:val="30"/>
          <w:szCs w:val="30"/>
        </w:rPr>
        <w:t>思政引领与法治安全类：课程思政、家国情怀、法治教育、安全教育等。</w:t>
      </w:r>
    </w:p>
    <w:p w14:paraId="2A8EDB10">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firstLine="600" w:firstLineChars="200"/>
        <w:jc w:val="both"/>
        <w:textAlignment w:val="auto"/>
        <w:outlineLvl w:val="1"/>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2.</w:t>
      </w:r>
      <w:r>
        <w:rPr>
          <w:rFonts w:hint="eastAsia" w:ascii="仿宋_GB2312" w:hAnsi="仿宋_GB2312" w:eastAsia="仿宋_GB2312" w:cs="仿宋_GB2312"/>
          <w:color w:val="000000"/>
          <w:kern w:val="0"/>
          <w:sz w:val="30"/>
          <w:szCs w:val="30"/>
        </w:rPr>
        <w:t>人文素养与科学精神类：人文素养、科学精神、中华优秀传统文化等。</w:t>
      </w:r>
    </w:p>
    <w:p w14:paraId="74D248AA">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firstLine="600" w:firstLineChars="200"/>
        <w:jc w:val="both"/>
        <w:textAlignment w:val="auto"/>
        <w:outlineLvl w:val="1"/>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3.</w:t>
      </w:r>
      <w:r>
        <w:rPr>
          <w:rFonts w:hint="eastAsia" w:ascii="仿宋_GB2312" w:hAnsi="仿宋_GB2312" w:eastAsia="仿宋_GB2312" w:cs="仿宋_GB2312"/>
          <w:color w:val="000000"/>
          <w:kern w:val="0"/>
          <w:sz w:val="30"/>
          <w:szCs w:val="30"/>
        </w:rPr>
        <w:t>学术规范与科研能力类：学术规范、科研诚信、研究方法、论文写作等。</w:t>
      </w:r>
    </w:p>
    <w:p w14:paraId="5B257190">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firstLine="600" w:firstLineChars="200"/>
        <w:jc w:val="both"/>
        <w:textAlignment w:val="auto"/>
        <w:outlineLvl w:val="1"/>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4.</w:t>
      </w:r>
      <w:r>
        <w:rPr>
          <w:rFonts w:hint="eastAsia" w:ascii="仿宋_GB2312" w:hAnsi="仿宋_GB2312" w:eastAsia="仿宋_GB2312" w:cs="仿宋_GB2312"/>
          <w:color w:val="000000"/>
          <w:kern w:val="0"/>
          <w:sz w:val="30"/>
          <w:szCs w:val="30"/>
        </w:rPr>
        <w:t>数字素养与智能技术类：数字素养、人工智能、信息技术应用等。</w:t>
      </w:r>
    </w:p>
    <w:p w14:paraId="1902DE97">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firstLine="600" w:firstLineChars="200"/>
        <w:jc w:val="both"/>
        <w:textAlignment w:val="auto"/>
        <w:outlineLvl w:val="1"/>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5.</w:t>
      </w:r>
      <w:r>
        <w:rPr>
          <w:rFonts w:hint="eastAsia" w:ascii="仿宋_GB2312" w:hAnsi="仿宋_GB2312" w:eastAsia="仿宋_GB2312" w:cs="仿宋_GB2312"/>
          <w:color w:val="000000"/>
          <w:kern w:val="0"/>
          <w:sz w:val="30"/>
          <w:szCs w:val="30"/>
        </w:rPr>
        <w:t>前沿交叉与全球视野类：学科前沿、交叉融合、学术视野、国际交流、全球胜任力。</w:t>
      </w:r>
    </w:p>
    <w:p w14:paraId="393C58E9">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firstLine="600" w:firstLineChars="200"/>
        <w:jc w:val="both"/>
        <w:textAlignment w:val="auto"/>
        <w:outlineLvl w:val="1"/>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6.</w:t>
      </w:r>
      <w:r>
        <w:rPr>
          <w:rFonts w:hint="eastAsia" w:ascii="仿宋_GB2312" w:hAnsi="仿宋_GB2312" w:eastAsia="仿宋_GB2312" w:cs="仿宋_GB2312"/>
          <w:color w:val="000000"/>
          <w:kern w:val="0"/>
          <w:sz w:val="30"/>
          <w:szCs w:val="30"/>
        </w:rPr>
        <w:t>创新素养与全面发展类：创新思维、职业素养、沟通领导力、心理健康、体育、美育、劳动教育。</w:t>
      </w:r>
    </w:p>
    <w:p w14:paraId="7DF9F040">
      <w:pPr>
        <w:keepNext w:val="0"/>
        <w:keepLines w:val="0"/>
        <w:pageBreakBefore w:val="0"/>
        <w:widowControl/>
        <w:kinsoku/>
        <w:wordWrap/>
        <w:overflowPunct/>
        <w:topLinePunct w:val="0"/>
        <w:autoSpaceDE/>
        <w:autoSpaceDN/>
        <w:bidi w:val="0"/>
        <w:adjustRightInd/>
        <w:snapToGrid/>
        <w:spacing w:line="520" w:lineRule="exact"/>
        <w:ind w:left="0" w:firstLine="602" w:firstLineChars="200"/>
        <w:jc w:val="both"/>
        <w:textAlignment w:val="auto"/>
        <w:outlineLvl w:val="1"/>
        <w:rPr>
          <w:rFonts w:hint="eastAsia" w:ascii="仿宋_GB2312" w:hAnsi="仿宋_GB2312" w:eastAsia="仿宋_GB2312" w:cs="仿宋_GB2312"/>
          <w:b/>
          <w:bCs/>
          <w:color w:val="000000"/>
          <w:kern w:val="0"/>
          <w:sz w:val="30"/>
          <w:szCs w:val="30"/>
        </w:rPr>
      </w:pPr>
      <w:bookmarkStart w:id="6" w:name="OLE_LINK1"/>
      <w:r>
        <w:rPr>
          <w:rFonts w:hint="eastAsia" w:ascii="仿宋_GB2312" w:hAnsi="仿宋_GB2312" w:eastAsia="仿宋_GB2312" w:cs="仿宋_GB2312"/>
          <w:b/>
          <w:bCs/>
          <w:color w:val="000000"/>
          <w:kern w:val="0"/>
          <w:sz w:val="30"/>
          <w:szCs w:val="30"/>
        </w:rPr>
        <w:t>四、申报条件</w:t>
      </w:r>
    </w:p>
    <w:p w14:paraId="63B6CDDE">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1.</w:t>
      </w:r>
      <w:r>
        <w:rPr>
          <w:rFonts w:hint="eastAsia" w:ascii="仿宋_GB2312" w:hAnsi="仿宋_GB2312" w:eastAsia="仿宋_GB2312" w:cs="仿宋_GB2312"/>
          <w:color w:val="000000"/>
          <w:kern w:val="0"/>
          <w:sz w:val="30"/>
          <w:szCs w:val="30"/>
        </w:rPr>
        <w:t>课程负责人政治素质过硬、师德师风优良、教学态度端正。</w:t>
      </w:r>
    </w:p>
    <w:p w14:paraId="7704B934">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2.</w:t>
      </w:r>
      <w:r>
        <w:rPr>
          <w:rFonts w:hint="eastAsia" w:ascii="仿宋_GB2312" w:hAnsi="仿宋_GB2312" w:eastAsia="仿宋_GB2312" w:cs="仿宋_GB2312"/>
          <w:color w:val="000000"/>
          <w:kern w:val="0"/>
          <w:sz w:val="30"/>
          <w:szCs w:val="30"/>
        </w:rPr>
        <w:t>课程负责人具有稳定的教学与研究方向，教学经验丰富、教学效果良好。</w:t>
      </w:r>
    </w:p>
    <w:p w14:paraId="0B41EDE4">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3.</w:t>
      </w:r>
      <w:r>
        <w:rPr>
          <w:rFonts w:hint="eastAsia" w:ascii="仿宋_GB2312" w:hAnsi="仿宋_GB2312" w:eastAsia="仿宋_GB2312" w:cs="仿宋_GB2312"/>
          <w:color w:val="000000"/>
          <w:kern w:val="0"/>
          <w:sz w:val="30"/>
          <w:szCs w:val="30"/>
        </w:rPr>
        <w:t>课程内容导向正确、体系规范、逻辑清晰、无意识形态风险。</w:t>
      </w:r>
    </w:p>
    <w:p w14:paraId="579492CE">
      <w:pPr>
        <w:pStyle w:val="31"/>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4.</w:t>
      </w:r>
      <w:r>
        <w:rPr>
          <w:rFonts w:hint="eastAsia" w:ascii="仿宋_GB2312" w:hAnsi="仿宋_GB2312" w:eastAsia="仿宋_GB2312" w:cs="仿宋_GB2312"/>
          <w:color w:val="000000"/>
          <w:kern w:val="0"/>
          <w:sz w:val="30"/>
          <w:szCs w:val="30"/>
        </w:rPr>
        <w:t>鼓励跨学院、跨学科、跨专业组建教学团队，联合申报建设。</w:t>
      </w:r>
    </w:p>
    <w:bookmarkEnd w:id="6"/>
    <w:p w14:paraId="07EC44B0">
      <w:pPr>
        <w:keepNext w:val="0"/>
        <w:keepLines w:val="0"/>
        <w:pageBreakBefore w:val="0"/>
        <w:widowControl/>
        <w:kinsoku/>
        <w:wordWrap/>
        <w:overflowPunct/>
        <w:topLinePunct w:val="0"/>
        <w:autoSpaceDE/>
        <w:autoSpaceDN/>
        <w:bidi w:val="0"/>
        <w:adjustRightInd/>
        <w:snapToGrid/>
        <w:spacing w:line="520" w:lineRule="exact"/>
        <w:ind w:left="0" w:firstLine="602" w:firstLineChars="200"/>
        <w:jc w:val="both"/>
        <w:textAlignment w:val="auto"/>
        <w:outlineLvl w:val="1"/>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五、支持与激励政策</w:t>
      </w:r>
    </w:p>
    <w:p w14:paraId="0E13C5EB">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1.</w:t>
      </w:r>
      <w:r>
        <w:rPr>
          <w:rFonts w:hint="eastAsia" w:ascii="仿宋_GB2312" w:hAnsi="仿宋_GB2312" w:eastAsia="仿宋_GB2312" w:cs="仿宋_GB2312"/>
          <w:color w:val="000000"/>
          <w:kern w:val="0"/>
          <w:sz w:val="30"/>
          <w:szCs w:val="30"/>
        </w:rPr>
        <w:t>根据开课情况，学校给予课程建设经费支持。</w:t>
      </w:r>
    </w:p>
    <w:p w14:paraId="279C81C5">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2.</w:t>
      </w:r>
      <w:r>
        <w:rPr>
          <w:rFonts w:hint="eastAsia" w:ascii="仿宋_GB2312" w:hAnsi="仿宋_GB2312" w:eastAsia="仿宋_GB2312" w:cs="仿宋_GB2312"/>
          <w:color w:val="000000"/>
          <w:kern w:val="0"/>
          <w:sz w:val="30"/>
          <w:szCs w:val="30"/>
        </w:rPr>
        <w:t>建设成效突出者，择优认定为“沈师研究生荣誉课程”。</w:t>
      </w:r>
    </w:p>
    <w:p w14:paraId="2164EEDC">
      <w:pPr>
        <w:keepNext w:val="0"/>
        <w:keepLines w:val="0"/>
        <w:pageBreakBefore w:val="0"/>
        <w:widowControl/>
        <w:kinsoku/>
        <w:wordWrap/>
        <w:overflowPunct/>
        <w:topLinePunct w:val="0"/>
        <w:autoSpaceDE/>
        <w:autoSpaceDN/>
        <w:bidi w:val="0"/>
        <w:adjustRightInd/>
        <w:snapToGrid/>
        <w:spacing w:line="520" w:lineRule="exact"/>
        <w:ind w:left="0" w:firstLine="602" w:firstLineChars="200"/>
        <w:jc w:val="both"/>
        <w:textAlignment w:val="auto"/>
        <w:outlineLvl w:val="1"/>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六、申报要求</w:t>
      </w:r>
    </w:p>
    <w:p w14:paraId="382C3002">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1.</w:t>
      </w:r>
      <w:r>
        <w:rPr>
          <w:rFonts w:hint="eastAsia" w:ascii="仿宋_GB2312" w:hAnsi="仿宋_GB2312" w:eastAsia="仿宋_GB2312" w:cs="仿宋_GB2312"/>
          <w:color w:val="000000"/>
          <w:kern w:val="0"/>
          <w:sz w:val="30"/>
          <w:szCs w:val="30"/>
        </w:rPr>
        <w:t>各单位初审汇总后统一报送，不受理个人直接申报，每单位推荐1–2门。</w:t>
      </w:r>
    </w:p>
    <w:p w14:paraId="3A0FAA00">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eastAsia" w:ascii="仿宋_GB2312" w:hAnsi="仿宋_GB2312" w:eastAsia="仿宋_GB2312" w:cs="仿宋_GB2312"/>
          <w:color w:val="000000"/>
          <w:kern w:val="0"/>
          <w:sz w:val="30"/>
          <w:szCs w:val="30"/>
          <w:highlight w:val="none"/>
        </w:rPr>
      </w:pPr>
      <w:r>
        <w:rPr>
          <w:rFonts w:hint="eastAsia" w:ascii="仿宋_GB2312" w:hAnsi="仿宋_GB2312" w:eastAsia="仿宋_GB2312" w:cs="仿宋_GB2312"/>
          <w:color w:val="000000"/>
          <w:kern w:val="0"/>
          <w:sz w:val="30"/>
          <w:szCs w:val="30"/>
          <w:highlight w:val="none"/>
          <w:lang w:val="en-US" w:eastAsia="zh-CN"/>
        </w:rPr>
        <w:t>2.</w:t>
      </w:r>
      <w:r>
        <w:rPr>
          <w:rFonts w:hint="eastAsia" w:ascii="仿宋_GB2312" w:hAnsi="仿宋_GB2312" w:eastAsia="仿宋_GB2312" w:cs="仿宋_GB2312"/>
          <w:color w:val="000000"/>
          <w:kern w:val="0"/>
          <w:sz w:val="30"/>
          <w:szCs w:val="30"/>
          <w:highlight w:val="none"/>
        </w:rPr>
        <w:t>提交材料：《沈阳师范大学硕士研究生通识公共选修课申报书》</w:t>
      </w:r>
      <w:r>
        <w:rPr>
          <w:rFonts w:hint="eastAsia" w:ascii="仿宋_GB2312" w:hAnsi="仿宋_GB2312" w:eastAsia="仿宋_GB2312" w:cs="仿宋_GB2312"/>
          <w:color w:val="000000"/>
          <w:kern w:val="0"/>
          <w:sz w:val="30"/>
          <w:szCs w:val="30"/>
          <w:highlight w:val="none"/>
          <w:lang w:eastAsia="zh-CN"/>
        </w:rPr>
        <w:t>（</w:t>
      </w:r>
      <w:r>
        <w:rPr>
          <w:rFonts w:hint="eastAsia" w:ascii="仿宋_GB2312" w:hAnsi="仿宋_GB2312" w:eastAsia="仿宋_GB2312" w:cs="仿宋_GB2312"/>
          <w:color w:val="000000"/>
          <w:kern w:val="0"/>
          <w:sz w:val="30"/>
          <w:szCs w:val="30"/>
          <w:highlight w:val="none"/>
          <w:lang w:val="en-US" w:eastAsia="zh-CN"/>
        </w:rPr>
        <w:t>附件1</w:t>
      </w:r>
      <w:r>
        <w:rPr>
          <w:rFonts w:hint="eastAsia" w:ascii="仿宋_GB2312" w:hAnsi="仿宋_GB2312" w:eastAsia="仿宋_GB2312" w:cs="仿宋_GB2312"/>
          <w:color w:val="000000"/>
          <w:kern w:val="0"/>
          <w:sz w:val="30"/>
          <w:szCs w:val="30"/>
          <w:highlight w:val="none"/>
          <w:lang w:eastAsia="zh-CN"/>
        </w:rPr>
        <w:t>）、</w:t>
      </w:r>
      <w:r>
        <w:rPr>
          <w:rFonts w:hint="eastAsia" w:ascii="仿宋_GB2312" w:hAnsi="仿宋_GB2312" w:eastAsia="仿宋_GB2312" w:cs="仿宋_GB2312"/>
          <w:color w:val="000000"/>
          <w:kern w:val="0"/>
          <w:sz w:val="30"/>
          <w:szCs w:val="30"/>
          <w:highlight w:val="none"/>
        </w:rPr>
        <w:t>《申报汇总表》</w:t>
      </w:r>
      <w:r>
        <w:rPr>
          <w:rFonts w:hint="eastAsia" w:ascii="仿宋_GB2312" w:hAnsi="仿宋_GB2312" w:eastAsia="仿宋_GB2312" w:cs="仿宋_GB2312"/>
          <w:color w:val="000000"/>
          <w:kern w:val="0"/>
          <w:sz w:val="30"/>
          <w:szCs w:val="30"/>
          <w:highlight w:val="none"/>
          <w:lang w:eastAsia="zh-CN"/>
        </w:rPr>
        <w:t>（</w:t>
      </w:r>
      <w:r>
        <w:rPr>
          <w:rFonts w:hint="eastAsia" w:ascii="仿宋_GB2312" w:hAnsi="仿宋_GB2312" w:eastAsia="仿宋_GB2312" w:cs="仿宋_GB2312"/>
          <w:color w:val="000000"/>
          <w:kern w:val="0"/>
          <w:sz w:val="30"/>
          <w:szCs w:val="30"/>
          <w:highlight w:val="none"/>
          <w:lang w:val="en-US" w:eastAsia="zh-CN"/>
        </w:rPr>
        <w:t>附件2</w:t>
      </w:r>
      <w:bookmarkStart w:id="7" w:name="_GoBack"/>
      <w:bookmarkEnd w:id="7"/>
      <w:r>
        <w:rPr>
          <w:rFonts w:hint="eastAsia" w:ascii="仿宋_GB2312" w:hAnsi="仿宋_GB2312" w:eastAsia="仿宋_GB2312" w:cs="仿宋_GB2312"/>
          <w:color w:val="000000"/>
          <w:kern w:val="0"/>
          <w:sz w:val="30"/>
          <w:szCs w:val="30"/>
          <w:highlight w:val="none"/>
          <w:lang w:eastAsia="zh-CN"/>
        </w:rPr>
        <w:t>）</w:t>
      </w:r>
      <w:r>
        <w:rPr>
          <w:rFonts w:hint="eastAsia" w:ascii="仿宋_GB2312" w:hAnsi="仿宋_GB2312" w:eastAsia="仿宋_GB2312" w:cs="仿宋_GB2312"/>
          <w:color w:val="000000"/>
          <w:kern w:val="0"/>
          <w:sz w:val="30"/>
          <w:szCs w:val="30"/>
          <w:highlight w:val="none"/>
        </w:rPr>
        <w:t>（纸质版加盖公章+电子版）。</w:t>
      </w:r>
    </w:p>
    <w:p w14:paraId="05F99F11">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eastAsia" w:ascii="仿宋_GB2312" w:hAnsi="仿宋_GB2312" w:eastAsia="仿宋_GB2312" w:cs="仿宋_GB2312"/>
          <w:color w:val="000000"/>
          <w:kern w:val="0"/>
          <w:sz w:val="30"/>
          <w:szCs w:val="30"/>
          <w:highlight w:val="none"/>
        </w:rPr>
      </w:pPr>
      <w:r>
        <w:rPr>
          <w:rFonts w:hint="eastAsia" w:ascii="仿宋_GB2312" w:hAnsi="仿宋_GB2312" w:eastAsia="仿宋_GB2312" w:cs="仿宋_GB2312"/>
          <w:color w:val="000000"/>
          <w:kern w:val="0"/>
          <w:sz w:val="30"/>
          <w:szCs w:val="30"/>
          <w:highlight w:val="none"/>
          <w:lang w:val="en-US" w:eastAsia="zh-CN"/>
        </w:rPr>
        <w:t>3.</w:t>
      </w:r>
      <w:r>
        <w:rPr>
          <w:rFonts w:hint="eastAsia" w:ascii="仿宋_GB2312" w:hAnsi="仿宋_GB2312" w:eastAsia="仿宋_GB2312" w:cs="仿宋_GB2312"/>
          <w:color w:val="000000"/>
          <w:kern w:val="0"/>
          <w:sz w:val="30"/>
          <w:szCs w:val="30"/>
          <w:highlight w:val="none"/>
        </w:rPr>
        <w:t>报送截止时间：2026 年 5 月 20 日</w:t>
      </w:r>
    </w:p>
    <w:p w14:paraId="5457F337">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eastAsia" w:ascii="仿宋_GB2312" w:hAnsi="仿宋_GB2312" w:eastAsia="仿宋_GB2312" w:cs="仿宋_GB2312"/>
          <w:color w:val="000000"/>
          <w:kern w:val="0"/>
          <w:sz w:val="30"/>
          <w:szCs w:val="30"/>
          <w:highlight w:val="none"/>
        </w:rPr>
      </w:pPr>
      <w:r>
        <w:rPr>
          <w:rFonts w:hint="eastAsia" w:ascii="仿宋_GB2312" w:hAnsi="仿宋_GB2312" w:eastAsia="仿宋_GB2312" w:cs="仿宋_GB2312"/>
          <w:color w:val="000000"/>
          <w:kern w:val="0"/>
          <w:sz w:val="30"/>
          <w:szCs w:val="30"/>
          <w:highlight w:val="none"/>
          <w:lang w:val="en-US" w:eastAsia="zh-CN"/>
        </w:rPr>
        <w:t>4.</w:t>
      </w:r>
      <w:r>
        <w:rPr>
          <w:rFonts w:hint="eastAsia" w:ascii="仿宋_GB2312" w:hAnsi="仿宋_GB2312" w:eastAsia="仿宋_GB2312" w:cs="仿宋_GB2312"/>
          <w:color w:val="000000"/>
          <w:kern w:val="0"/>
          <w:sz w:val="30"/>
          <w:szCs w:val="30"/>
          <w:highlight w:val="none"/>
        </w:rPr>
        <w:t>报送地点：研究生院</w:t>
      </w:r>
    </w:p>
    <w:p w14:paraId="4D1A6CFB">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00" w:firstLineChars="200"/>
        <w:jc w:val="both"/>
        <w:textAlignment w:val="auto"/>
        <w:rPr>
          <w:rFonts w:hint="default" w:ascii="仿宋_GB2312" w:hAnsi="仿宋_GB2312" w:eastAsia="仿宋_GB2312" w:cs="仿宋_GB2312"/>
          <w:color w:val="000000"/>
          <w:kern w:val="0"/>
          <w:sz w:val="30"/>
          <w:szCs w:val="30"/>
          <w:highlight w:val="none"/>
          <w:lang w:val="en-US" w:eastAsia="zh-CN"/>
        </w:rPr>
      </w:pPr>
      <w:r>
        <w:rPr>
          <w:rFonts w:hint="eastAsia" w:ascii="仿宋_GB2312" w:hAnsi="仿宋_GB2312" w:eastAsia="仿宋_GB2312" w:cs="仿宋_GB2312"/>
          <w:color w:val="000000"/>
          <w:kern w:val="0"/>
          <w:sz w:val="30"/>
          <w:szCs w:val="30"/>
          <w:highlight w:val="none"/>
          <w:lang w:val="en-US" w:eastAsia="zh-CN"/>
        </w:rPr>
        <w:t>5.</w:t>
      </w:r>
      <w:r>
        <w:rPr>
          <w:rFonts w:hint="eastAsia" w:ascii="仿宋_GB2312" w:hAnsi="仿宋_GB2312" w:eastAsia="仿宋_GB2312" w:cs="仿宋_GB2312"/>
          <w:color w:val="000000"/>
          <w:kern w:val="0"/>
          <w:sz w:val="30"/>
          <w:szCs w:val="30"/>
          <w:highlight w:val="none"/>
        </w:rPr>
        <w:t xml:space="preserve">联系人及电话：谭慧敏 </w:t>
      </w:r>
      <w:r>
        <w:rPr>
          <w:rFonts w:hint="eastAsia" w:ascii="仿宋_GB2312" w:hAnsi="仿宋_GB2312" w:eastAsia="仿宋_GB2312" w:cs="仿宋_GB2312"/>
          <w:color w:val="000000"/>
          <w:kern w:val="0"/>
          <w:sz w:val="30"/>
          <w:szCs w:val="30"/>
          <w:highlight w:val="none"/>
          <w:lang w:val="en-US" w:eastAsia="zh-CN"/>
        </w:rPr>
        <w:t>86592968</w:t>
      </w:r>
    </w:p>
    <w:p w14:paraId="575D2FF4">
      <w:pPr>
        <w:keepNext w:val="0"/>
        <w:keepLines w:val="0"/>
        <w:pageBreakBefore w:val="0"/>
        <w:widowControl/>
        <w:kinsoku/>
        <w:wordWrap/>
        <w:overflowPunct/>
        <w:topLinePunct w:val="0"/>
        <w:autoSpaceDE/>
        <w:autoSpaceDN/>
        <w:bidi w:val="0"/>
        <w:adjustRightInd/>
        <w:snapToGrid/>
        <w:spacing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请各单位高度重视、广泛动员，积极组织优质课程申报，共同提升我校研究生培养质量。</w:t>
      </w:r>
    </w:p>
    <w:p w14:paraId="1EECACE7">
      <w:pPr>
        <w:keepNext w:val="0"/>
        <w:keepLines w:val="0"/>
        <w:pageBreakBefore w:val="0"/>
        <w:widowControl/>
        <w:kinsoku/>
        <w:wordWrap/>
        <w:overflowPunct/>
        <w:topLinePunct w:val="0"/>
        <w:autoSpaceDE/>
        <w:autoSpaceDN/>
        <w:bidi w:val="0"/>
        <w:adjustRightInd/>
        <w:snapToGrid/>
        <w:spacing w:before="313" w:beforeLines="100" w:line="520" w:lineRule="exact"/>
        <w:jc w:val="both"/>
        <w:textAlignment w:val="auto"/>
        <w:rPr>
          <w:rFonts w:hint="eastAsia" w:ascii="仿宋_GB2312" w:hAnsi="仿宋_GB2312" w:eastAsia="仿宋_GB2312" w:cs="仿宋_GB2312"/>
          <w:color w:val="000000"/>
          <w:kern w:val="0"/>
          <w:sz w:val="30"/>
          <w:szCs w:val="30"/>
          <w:lang w:val="en-US" w:eastAsia="zh-CN"/>
        </w:rPr>
      </w:pPr>
      <w:r>
        <w:rPr>
          <w:rFonts w:hint="eastAsia" w:ascii="仿宋_GB2312" w:hAnsi="仿宋_GB2312" w:eastAsia="仿宋_GB2312" w:cs="仿宋_GB2312"/>
          <w:color w:val="000000"/>
          <w:kern w:val="0"/>
          <w:sz w:val="30"/>
          <w:szCs w:val="30"/>
          <w:lang w:val="en-US" w:eastAsia="zh-CN"/>
        </w:rPr>
        <w:t>附件：</w:t>
      </w:r>
    </w:p>
    <w:p w14:paraId="782C037D">
      <w:pPr>
        <w:keepNext w:val="0"/>
        <w:keepLines w:val="0"/>
        <w:pageBreakBefore w:val="0"/>
        <w:widowControl/>
        <w:kinsoku/>
        <w:wordWrap/>
        <w:overflowPunct/>
        <w:topLinePunct w:val="0"/>
        <w:autoSpaceDE/>
        <w:autoSpaceDN/>
        <w:bidi w:val="0"/>
        <w:adjustRightInd/>
        <w:snapToGrid/>
        <w:spacing w:line="52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rPr>
      </w:pPr>
      <w:r>
        <w:rPr>
          <w:rFonts w:hint="eastAsia" w:ascii="仿宋_GB2312" w:hAnsi="仿宋_GB2312" w:eastAsia="仿宋_GB2312" w:cs="仿宋_GB2312"/>
          <w:color w:val="000000"/>
          <w:kern w:val="0"/>
          <w:sz w:val="30"/>
          <w:szCs w:val="30"/>
          <w:lang w:val="en-US" w:eastAsia="zh-CN"/>
        </w:rPr>
        <w:t>1.沈阳师范大学硕士研究生通识公共选修课申报书</w:t>
      </w:r>
    </w:p>
    <w:p w14:paraId="12B81CA5">
      <w:pPr>
        <w:keepNext w:val="0"/>
        <w:keepLines w:val="0"/>
        <w:pageBreakBefore w:val="0"/>
        <w:widowControl/>
        <w:kinsoku/>
        <w:wordWrap/>
        <w:overflowPunct/>
        <w:topLinePunct w:val="0"/>
        <w:autoSpaceDE/>
        <w:autoSpaceDN/>
        <w:bidi w:val="0"/>
        <w:adjustRightInd/>
        <w:snapToGrid/>
        <w:spacing w:line="520" w:lineRule="exact"/>
        <w:ind w:firstLine="600" w:firstLineChars="200"/>
        <w:jc w:val="both"/>
        <w:textAlignment w:val="auto"/>
        <w:rPr>
          <w:rFonts w:hint="default" w:ascii="仿宋_GB2312" w:hAnsi="仿宋_GB2312" w:eastAsia="仿宋_GB2312" w:cs="仿宋_GB2312"/>
          <w:color w:val="000000"/>
          <w:kern w:val="0"/>
          <w:sz w:val="30"/>
          <w:szCs w:val="30"/>
          <w:lang w:val="en-US" w:eastAsia="zh-CN"/>
        </w:rPr>
      </w:pPr>
      <w:r>
        <w:rPr>
          <w:rFonts w:hint="eastAsia" w:ascii="仿宋_GB2312" w:hAnsi="仿宋_GB2312" w:eastAsia="仿宋_GB2312" w:cs="仿宋_GB2312"/>
          <w:color w:val="000000"/>
          <w:kern w:val="0"/>
          <w:sz w:val="30"/>
          <w:szCs w:val="30"/>
          <w:lang w:val="en-US" w:eastAsia="zh-CN"/>
        </w:rPr>
        <w:t>2.沈阳师范大学硕士研究生通识公共选修课申报情况汇总表</w:t>
      </w:r>
    </w:p>
    <w:p w14:paraId="1A343718">
      <w:pPr>
        <w:keepNext w:val="0"/>
        <w:keepLines w:val="0"/>
        <w:pageBreakBefore w:val="0"/>
        <w:widowControl/>
        <w:kinsoku/>
        <w:wordWrap/>
        <w:overflowPunct/>
        <w:topLinePunct w:val="0"/>
        <w:autoSpaceDE/>
        <w:autoSpaceDN/>
        <w:bidi w:val="0"/>
        <w:adjustRightInd/>
        <w:snapToGrid/>
        <w:spacing w:before="313" w:beforeLines="100" w:line="520" w:lineRule="exact"/>
        <w:ind w:left="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 xml:space="preserve">                                           </w:t>
      </w:r>
      <w:r>
        <w:rPr>
          <w:rFonts w:hint="eastAsia" w:ascii="仿宋_GB2312" w:hAnsi="仿宋_GB2312" w:eastAsia="仿宋_GB2312" w:cs="仿宋_GB2312"/>
          <w:color w:val="000000"/>
          <w:kern w:val="0"/>
          <w:sz w:val="30"/>
          <w:szCs w:val="30"/>
        </w:rPr>
        <w:t>研究生院</w:t>
      </w:r>
    </w:p>
    <w:p w14:paraId="6204BD4F">
      <w:pPr>
        <w:keepNext w:val="0"/>
        <w:keepLines w:val="0"/>
        <w:pageBreakBefore w:val="0"/>
        <w:widowControl/>
        <w:kinsoku/>
        <w:wordWrap/>
        <w:overflowPunct/>
        <w:topLinePunct w:val="0"/>
        <w:autoSpaceDE/>
        <w:autoSpaceDN/>
        <w:bidi w:val="0"/>
        <w:adjustRightInd/>
        <w:snapToGrid/>
        <w:spacing w:line="520" w:lineRule="exact"/>
        <w:ind w:firstLine="6600" w:firstLineChars="2200"/>
        <w:jc w:val="both"/>
        <w:textAlignment w:val="auto"/>
        <w:rPr>
          <w:rFonts w:hint="eastAsia" w:ascii="仿宋" w:hAnsi="仿宋" w:eastAsia="仿宋"/>
          <w:sz w:val="32"/>
          <w:szCs w:val="32"/>
        </w:rPr>
      </w:pPr>
      <w:r>
        <w:rPr>
          <w:rFonts w:hint="eastAsia" w:ascii="仿宋_GB2312" w:hAnsi="仿宋_GB2312" w:eastAsia="仿宋_GB2312" w:cs="仿宋_GB2312"/>
          <w:color w:val="000000"/>
          <w:kern w:val="0"/>
          <w:sz w:val="30"/>
          <w:szCs w:val="30"/>
        </w:rPr>
        <w:t>2026年4月2</w:t>
      </w:r>
      <w:r>
        <w:rPr>
          <w:rFonts w:hint="eastAsia" w:ascii="仿宋_GB2312" w:hAnsi="仿宋_GB2312" w:eastAsia="仿宋_GB2312" w:cs="仿宋_GB2312"/>
          <w:color w:val="000000"/>
          <w:kern w:val="0"/>
          <w:sz w:val="30"/>
          <w:szCs w:val="30"/>
          <w:lang w:val="en-US" w:eastAsia="zh-CN"/>
        </w:rPr>
        <w:t>2</w:t>
      </w:r>
      <w:r>
        <w:rPr>
          <w:rFonts w:hint="eastAsia" w:ascii="仿宋_GB2312" w:hAnsi="仿宋_GB2312" w:eastAsia="仿宋_GB2312" w:cs="仿宋_GB2312"/>
          <w:color w:val="000000"/>
          <w:kern w:val="0"/>
          <w:sz w:val="30"/>
          <w:szCs w:val="30"/>
        </w:rPr>
        <w:t>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FBE"/>
    <w:rsid w:val="00062669"/>
    <w:rsid w:val="000A7163"/>
    <w:rsid w:val="001C7B84"/>
    <w:rsid w:val="001D711B"/>
    <w:rsid w:val="001F230D"/>
    <w:rsid w:val="00275DF6"/>
    <w:rsid w:val="002C44F4"/>
    <w:rsid w:val="003304E0"/>
    <w:rsid w:val="00595335"/>
    <w:rsid w:val="0059675E"/>
    <w:rsid w:val="005B6449"/>
    <w:rsid w:val="00796317"/>
    <w:rsid w:val="00896CB6"/>
    <w:rsid w:val="0096056A"/>
    <w:rsid w:val="0098039D"/>
    <w:rsid w:val="00A27E0E"/>
    <w:rsid w:val="00AA5FBE"/>
    <w:rsid w:val="00B12084"/>
    <w:rsid w:val="00BB4E14"/>
    <w:rsid w:val="00C03115"/>
    <w:rsid w:val="00CC2A7C"/>
    <w:rsid w:val="00CF4E73"/>
    <w:rsid w:val="00D47650"/>
    <w:rsid w:val="00F12839"/>
    <w:rsid w:val="00F1551E"/>
    <w:rsid w:val="00F420DF"/>
    <w:rsid w:val="00FF5691"/>
    <w:rsid w:val="03B939BC"/>
    <w:rsid w:val="0D397CED"/>
    <w:rsid w:val="103A670E"/>
    <w:rsid w:val="118A1649"/>
    <w:rsid w:val="155250FC"/>
    <w:rsid w:val="185467E1"/>
    <w:rsid w:val="2443398C"/>
    <w:rsid w:val="2E346283"/>
    <w:rsid w:val="36EF0744"/>
    <w:rsid w:val="3B783AC3"/>
    <w:rsid w:val="3E45657B"/>
    <w:rsid w:val="41982EE8"/>
    <w:rsid w:val="4C8B6D51"/>
    <w:rsid w:val="58860444"/>
    <w:rsid w:val="66042274"/>
    <w:rsid w:val="76263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7">
    <w:name w:val="Strong"/>
    <w:basedOn w:val="16"/>
    <w:qFormat/>
    <w:uiPriority w:val="22"/>
    <w:rPr>
      <w:b/>
      <w:bCs/>
    </w:rPr>
  </w:style>
  <w:style w:type="character" w:customStyle="1" w:styleId="18">
    <w:name w:val="标题 1 字符"/>
    <w:basedOn w:val="16"/>
    <w:link w:val="2"/>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6"/>
    <w:link w:val="3"/>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6"/>
    <w:link w:val="5"/>
    <w:semiHidden/>
    <w:qFormat/>
    <w:uiPriority w:val="9"/>
    <w:rPr>
      <w:rFonts w:cstheme="majorBidi"/>
      <w:color w:val="104862" w:themeColor="accent1" w:themeShade="BF"/>
      <w:sz w:val="28"/>
      <w:szCs w:val="28"/>
    </w:rPr>
  </w:style>
  <w:style w:type="character" w:customStyle="1" w:styleId="22">
    <w:name w:val="标题 5 字符"/>
    <w:basedOn w:val="16"/>
    <w:link w:val="6"/>
    <w:semiHidden/>
    <w:uiPriority w:val="9"/>
    <w:rPr>
      <w:rFonts w:cstheme="majorBidi"/>
      <w:color w:val="104862" w:themeColor="accent1" w:themeShade="BF"/>
      <w:sz w:val="24"/>
      <w:szCs w:val="24"/>
    </w:rPr>
  </w:style>
  <w:style w:type="character" w:customStyle="1" w:styleId="23">
    <w:name w:val="标题 6 字符"/>
    <w:basedOn w:val="16"/>
    <w:link w:val="7"/>
    <w:semiHidden/>
    <w:uiPriority w:val="9"/>
    <w:rPr>
      <w:rFonts w:cstheme="majorBidi"/>
      <w:b/>
      <w:bCs/>
      <w:color w:val="104862" w:themeColor="accent1" w:themeShade="BF"/>
    </w:rPr>
  </w:style>
  <w:style w:type="character" w:customStyle="1" w:styleId="24">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6"/>
    <w:link w:val="33"/>
    <w:uiPriority w:val="30"/>
    <w:rPr>
      <w:i/>
      <w:iCs/>
      <w:color w:val="104862" w:themeColor="accent1" w:themeShade="BF"/>
    </w:rPr>
  </w:style>
  <w:style w:type="character" w:customStyle="1" w:styleId="35">
    <w:name w:val="Intense Reference"/>
    <w:basedOn w:val="16"/>
    <w:qFormat/>
    <w:uiPriority w:val="32"/>
    <w:rPr>
      <w:b/>
      <w:bCs/>
      <w:smallCaps/>
      <w:color w:val="104862" w:themeColor="accent1" w:themeShade="BF"/>
      <w:spacing w:val="5"/>
    </w:rPr>
  </w:style>
  <w:style w:type="character" w:customStyle="1" w:styleId="36">
    <w:name w:val="页眉 字符"/>
    <w:basedOn w:val="16"/>
    <w:link w:val="12"/>
    <w:qFormat/>
    <w:uiPriority w:val="99"/>
    <w:rPr>
      <w:sz w:val="18"/>
      <w:szCs w:val="18"/>
    </w:rPr>
  </w:style>
  <w:style w:type="character" w:customStyle="1" w:styleId="37">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1097</Words>
  <Characters>1142</Characters>
  <Lines>7</Lines>
  <Paragraphs>2</Paragraphs>
  <TotalTime>80</TotalTime>
  <ScaleCrop>false</ScaleCrop>
  <LinksUpToDate>false</LinksUpToDate>
  <CharactersWithSpaces>1191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2026-04-17T00:15:00Z</dcterms:created>
  <dc:creator>永君 荆</dc:creator>
  <cp:lastModifiedBy>谭慧敏</cp:lastModifiedBy>
  <dcterms:modified xsi:type="dcterms:W3CDTF">2026-04-17T08:07:35Z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eyJoZGlkIjoiNDY5MTE4OThiY2UyMjFlMWY4NmY0MWNhNjRmZGZhNWQiLCJ1c2VySWQiOiIxNDk2NzI1OTYyIn0=</vt:lpwstr>
  </property>
  <property fmtid="{D5CDD505-2E9C-101B-9397-08002B2CF9AE}" pid="3" name="KSOProductBuildVer">
    <vt:lpwstr>2052-12.1.0.25865</vt:lpwstr>
  </property>
  <property fmtid="{D5CDD505-2E9C-101B-9397-08002B2CF9AE}" pid="4" name="ICV">
    <vt:lpwstr>63635BEECBB340E5B8417AD509F635C5_12</vt:lpwstr>
  </property>
</Properties>
</file>